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CB5F" w14:textId="77777777" w:rsidR="005745C5" w:rsidRDefault="005745C5" w:rsidP="005745C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Затверджено </w:t>
      </w:r>
    </w:p>
    <w:p w14:paraId="3B32CB89" w14:textId="77777777" w:rsidR="005745C5" w:rsidRPr="00EF432B" w:rsidRDefault="005745C5" w:rsidP="005745C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Протоколом Уповноваженої особи</w:t>
      </w:r>
      <w:r w:rsidRPr="00EF4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3</w:t>
      </w:r>
    </w:p>
    <w:p w14:paraId="26B72050" w14:textId="77777777" w:rsidR="005745C5" w:rsidRDefault="005745C5" w:rsidP="005745C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 07.09.2023</w:t>
      </w:r>
    </w:p>
    <w:p w14:paraId="5A5F52DC" w14:textId="77777777" w:rsidR="005745C5" w:rsidRDefault="005745C5" w:rsidP="005745C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FAABCC" w14:textId="77777777" w:rsidR="005745C5" w:rsidRDefault="005745C5" w:rsidP="005745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ПЕРЕЛІК ЗМІН, ЩО ВНОСЯТЬСЯ ДО ТЕНДЕРНОЇ ДОКУМЕНТАЦІЇ</w:t>
      </w:r>
    </w:p>
    <w:p w14:paraId="4C9D7DD6" w14:textId="77777777" w:rsidR="005745C5" w:rsidRDefault="005745C5" w:rsidP="005745C5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F43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Для процедури закупівлі-відкриті </w:t>
      </w:r>
      <w:proofErr w:type="spellStart"/>
      <w:r w:rsidRPr="00EF43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торгиз</w:t>
      </w:r>
      <w:proofErr w:type="spellEnd"/>
      <w:r w:rsidRPr="00EF43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особливостями:  «ДК 021:2015 - 71330000-0 - Інженерні послуги різні) «Проведення спеціального обстеження наявних дефектів на цементобетонному покритті з наданням звіту з рекомендаціями щодо їх усунення на об’єкті капітального ремонту О151101 (Миколаїв-Херсон)-Любомирівка-Першотравневе-(Казанка-(Р-47)) на ділянці км 0+000 – км 10+000 які спричиненні в наслідок військової агресії російської федерації», оголошення  в ЦБД  UA-2023-09-04-009972-a .</w:t>
      </w:r>
    </w:p>
    <w:p w14:paraId="50F15495" w14:textId="77777777" w:rsidR="005745C5" w:rsidRPr="00EF432B" w:rsidRDefault="005745C5" w:rsidP="005745C5">
      <w:pPr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546A9CD" w14:textId="77777777" w:rsidR="005745C5" w:rsidRPr="00EF432B" w:rsidRDefault="005745C5" w:rsidP="005745C5">
      <w:pPr>
        <w:widowControl w:val="0"/>
        <w:spacing w:line="240" w:lineRule="auto"/>
        <w:ind w:firstLine="50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259FA">
        <w:rPr>
          <w:rFonts w:ascii="Times New Roman" w:hAnsi="Times New Roman" w:cs="Times New Roman"/>
          <w:b/>
          <w:bCs/>
          <w:sz w:val="24"/>
          <w:szCs w:val="24"/>
        </w:rPr>
        <w:t>Внесено</w:t>
      </w:r>
      <w:proofErr w:type="spellEnd"/>
      <w:r w:rsidRPr="006259FA">
        <w:rPr>
          <w:rFonts w:ascii="Times New Roman" w:hAnsi="Times New Roman" w:cs="Times New Roman"/>
          <w:b/>
          <w:bCs/>
          <w:sz w:val="24"/>
          <w:szCs w:val="24"/>
        </w:rPr>
        <w:t xml:space="preserve"> зміни </w:t>
      </w:r>
      <w:r w:rsidRPr="005C5EDF"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5C5EDF">
        <w:rPr>
          <w:rFonts w:ascii="Times New Roman" w:eastAsia="Times New Roman" w:hAnsi="Times New Roman" w:cs="Times New Roman"/>
          <w:iCs/>
          <w:sz w:val="24"/>
          <w:szCs w:val="24"/>
        </w:rPr>
        <w:t xml:space="preserve"> п. 3.1 Розділу </w:t>
      </w:r>
      <w:r w:rsidRPr="005C5EDF">
        <w:rPr>
          <w:rFonts w:ascii="Times New Roman" w:hAnsi="Times New Roman" w:cs="Times New Roman"/>
          <w:iCs/>
          <w:sz w:val="24"/>
          <w:szCs w:val="24"/>
        </w:rPr>
        <w:t>3 Інструкція з підготовки тендерної пропозиції</w:t>
      </w:r>
      <w:r w:rsidRPr="005C5EDF">
        <w:rPr>
          <w:rFonts w:ascii="Times New Roman" w:eastAsia="Times New Roman" w:hAnsi="Times New Roman" w:cs="Times New Roman"/>
          <w:iCs/>
          <w:sz w:val="24"/>
          <w:szCs w:val="24"/>
        </w:rPr>
        <w:t xml:space="preserve"> виключ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ено</w:t>
      </w:r>
      <w:r w:rsidRPr="005C5EDF">
        <w:rPr>
          <w:rFonts w:ascii="Times New Roman" w:eastAsia="Times New Roman" w:hAnsi="Times New Roman" w:cs="Times New Roman"/>
          <w:iCs/>
          <w:sz w:val="24"/>
          <w:szCs w:val="24"/>
        </w:rPr>
        <w:t xml:space="preserve"> вимогу </w:t>
      </w:r>
      <w:r w:rsidRPr="00EF432B">
        <w:rPr>
          <w:rFonts w:ascii="Times New Roman" w:hAnsi="Times New Roman"/>
          <w:b/>
          <w:bCs/>
          <w:sz w:val="24"/>
          <w:szCs w:val="24"/>
        </w:rPr>
        <w:t xml:space="preserve">та викладено у новій редакції: 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253"/>
        <w:gridCol w:w="6983"/>
      </w:tblGrid>
      <w:tr w:rsidR="005745C5" w:rsidRPr="00EF432B" w14:paraId="00F16619" w14:textId="77777777" w:rsidTr="00540E68">
        <w:trPr>
          <w:trHeight w:val="422"/>
          <w:jc w:val="center"/>
        </w:trPr>
        <w:tc>
          <w:tcPr>
            <w:tcW w:w="677" w:type="dxa"/>
          </w:tcPr>
          <w:p w14:paraId="12ECF6DD" w14:textId="77777777" w:rsidR="005745C5" w:rsidRPr="00EF432B" w:rsidRDefault="005745C5" w:rsidP="00540E68">
            <w:pPr>
              <w:widowControl w:val="0"/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53" w:type="dxa"/>
          </w:tcPr>
          <w:p w14:paraId="27C74A83" w14:textId="77777777" w:rsidR="005745C5" w:rsidRPr="00EF432B" w:rsidRDefault="005745C5" w:rsidP="00540E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і спосіб подання тендерної пропозиції</w:t>
            </w:r>
          </w:p>
        </w:tc>
        <w:tc>
          <w:tcPr>
            <w:tcW w:w="6983" w:type="dxa"/>
          </w:tcPr>
          <w:p w14:paraId="23824F58" w14:textId="77777777" w:rsidR="005745C5" w:rsidRPr="00EF432B" w:rsidRDefault="005745C5" w:rsidP="00540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Тендерні пропозиції подаються відповідно до порядку, визначеного статтею 26 Закону, крім положень частин першої, четвертої, шостої та сьомої статті 26 Закону.</w:t>
            </w:r>
          </w:p>
          <w:p w14:paraId="592AAEF2" w14:textId="77777777" w:rsidR="005745C5" w:rsidRPr="00EF432B" w:rsidRDefault="005745C5" w:rsidP="00540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55865ACC" w14:textId="77777777" w:rsidR="005745C5" w:rsidRPr="00EF432B" w:rsidRDefault="005745C5" w:rsidP="00540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Тендерні пропозиції залишаються дійсними протягом зазначеного в тендерній документації строку, який у разі необхідності може бути продовжений.</w:t>
            </w:r>
          </w:p>
          <w:p w14:paraId="1E5618A2" w14:textId="77777777" w:rsidR="005745C5" w:rsidRPr="00EF432B" w:rsidRDefault="005745C5" w:rsidP="00540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 закінчення зазначеного строку замовник має право вимагати від учасників процедури закупівлі продовження строку дії тендерних пропозицій. Учасник процедури закупівлі має право:</w:t>
            </w:r>
          </w:p>
          <w:p w14:paraId="67FBAE21" w14:textId="77777777" w:rsidR="005745C5" w:rsidRPr="00EF432B" w:rsidRDefault="005745C5" w:rsidP="00540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відхилити таку вимогу, не втрачаючи при цьому наданого ним забезпечення тендерної пропозиції;</w:t>
            </w:r>
          </w:p>
          <w:p w14:paraId="3D54196E" w14:textId="77777777" w:rsidR="005745C5" w:rsidRPr="00EF432B" w:rsidRDefault="005745C5" w:rsidP="00540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погодитися з вимогою та продовжити строк дії поданої ним тендерної пропозиції і наданого забезпечення тендерної пропозиції.</w:t>
            </w:r>
          </w:p>
          <w:p w14:paraId="5E606AF3" w14:textId="77777777" w:rsidR="005745C5" w:rsidRPr="00EF432B" w:rsidRDefault="005745C5" w:rsidP="00540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У разі необхідності учасник процедури закупівлі має право з власної ініціативи продовжити строк дії своєї тендерної пропозиції, повідомивши про це замовникові через електронну систему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F3CBE3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Тендерна пропозиція подається в електронній формі через електронну систему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заповнення електронних форм з окремими полями, у яких зазначається інформація про ціну, інші критерії оцінки (у разі їх встановлення замовником), інформація від учасника процедури закупівлі про його відповідність кваліфікаційним (кваліфікаційному) критеріям (у разі їх (його) встановлення, наявність/відсутність підстав, установлених у пункті 47 Особливостей і в тендерній документації, та шляхом завантаження необхідних документів, що вимагаються замовником у тендерній документації.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AE1949D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система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формує та надсилає повідомлення учаснику про отримання його тендерної 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пропозиції із зазначенням дати та часу. Електронна система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забезпечити можливість подання тендерної пропозиції всім особам на рівних умовах.</w:t>
            </w:r>
          </w:p>
          <w:p w14:paraId="2B0F1A03" w14:textId="77777777" w:rsidR="005745C5" w:rsidRPr="00EF432B" w:rsidRDefault="005745C5" w:rsidP="00540E68">
            <w:pPr>
              <w:widowControl w:val="0"/>
              <w:spacing w:after="0" w:line="240" w:lineRule="auto"/>
              <w:ind w:firstLine="4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Всі визначені цією тендерною документацією документи тендерної пропозиції завантажуються в електронну систему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вигляді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скан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-копій придатних для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машинозчитування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(файли з розширенням «..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скан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-копії.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господарювання. 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Документи, завантажені учасником в складі тендерної пропозиції повинні бути чіткими, текст на усіх документах тендерної пропозиції має бути розбірливим та повинен вільно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читатись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Всім завантаженим файлам повинна бути присвоєна назва, яка відповідає змісту завантаженого документу (за виключенням підтвердження надання учасником забезпечення тендерної пропозиції). Документ, розміщений на декількох сторінках, повинен бути завантажений одним файлом.</w:t>
            </w:r>
          </w:p>
          <w:p w14:paraId="7D65A9CC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Вимога щодо засвідчення того чи іншого документу тендерної пропозиції власноручним підписом учасника/уповноваженої особи не застосовується до документів (матеріалів та інформації), що подаються у складі тендерної пропозиції, якщо такі документи (матеріали та інформація) надані учасником у формі електронного документа через електронну систему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накладенням </w:t>
            </w:r>
            <w:r w:rsidRPr="00EF432B">
              <w:rPr>
                <w:rFonts w:ascii="Times New Roman" w:eastAsia="Times New Roman" w:hAnsi="Times New Roman" w:cs="Arial"/>
                <w:sz w:val="24"/>
                <w:szCs w:val="24"/>
              </w:rPr>
              <w:t>електронного підпису,</w:t>
            </w:r>
            <w:r w:rsidRPr="00EF43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що базується на кваліфікованому сертифікаті електронного підпису, відповідно до вимог Закону України «Про електронні довірчі послуги», на пропозицію в цілому.</w:t>
            </w:r>
          </w:p>
          <w:p w14:paraId="402FE69A" w14:textId="77777777" w:rsidR="005745C5" w:rsidRPr="00EF432B" w:rsidRDefault="005745C5" w:rsidP="00540E68">
            <w:pPr>
              <w:keepNext/>
              <w:keepLines/>
              <w:spacing w:after="0" w:line="240" w:lineRule="auto"/>
              <w:ind w:left="40" w:right="139"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 перевіряє </w:t>
            </w:r>
            <w:r w:rsidRPr="00EF432B">
              <w:rPr>
                <w:rFonts w:ascii="Times New Roman" w:eastAsia="Times New Roman" w:hAnsi="Times New Roman" w:cs="Arial"/>
                <w:sz w:val="24"/>
                <w:szCs w:val="24"/>
              </w:rPr>
              <w:t>електронний підпис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 на сайті центрального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засвідчувального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органу.</w:t>
            </w:r>
          </w:p>
          <w:p w14:paraId="08AE8694" w14:textId="77777777" w:rsidR="005745C5" w:rsidRPr="00EF432B" w:rsidRDefault="005745C5" w:rsidP="00540E68">
            <w:pPr>
              <w:keepNext/>
              <w:keepLines/>
              <w:spacing w:after="0" w:line="240" w:lineRule="auto"/>
              <w:ind w:left="40" w:right="139"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 час перевірки </w:t>
            </w:r>
            <w:r w:rsidRPr="00EF432B">
              <w:rPr>
                <w:rFonts w:ascii="Times New Roman" w:eastAsia="Times New Roman" w:hAnsi="Times New Roman" w:cs="Arial"/>
                <w:sz w:val="24"/>
                <w:szCs w:val="24"/>
              </w:rPr>
              <w:t>електронного підпису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Протоколі повинні відображатися: прізвище та ініціали особи, уповноваженої на підписання тендерної пропозиції (власника ключа), дата накладення КЕП не раніше дати оголошення тендера, тип підпису – Кваліфікований, сертифікат - Кваліфікований.</w:t>
            </w:r>
          </w:p>
          <w:p w14:paraId="2A6D8D12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 час використання електронної системи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подання тендерних 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послуги», тобто тендерна пропозиція повинна містити </w:t>
            </w:r>
            <w:r w:rsidRPr="00EF432B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кваліфікований електронний підпис 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учасника/уповноваженої особи учасника процедури закупівлі, повноваження якої щодо підпису документів тендерної пропозиції підтверджуються відповідно до поданих документів, що вимагаються згідно додатку № 4 цієї тендерної документації.</w:t>
            </w:r>
          </w:p>
          <w:p w14:paraId="47C9B2F2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 накладеного</w:t>
            </w:r>
            <w:r w:rsidRPr="00EF432B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кваліфікованого електронного підпису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призведе до відхилення пропозиції без розгляду, як такої що не відповідає вимогам тендерної документації.</w:t>
            </w:r>
          </w:p>
          <w:p w14:paraId="1FE2CBBA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4978862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у сканованому вигляді завантажує на електронному 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майданчику, який приєднаний до системи електронних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PROZORRO, шляхом заповнення електронних форм з окремими полями, наступні документи:</w:t>
            </w:r>
          </w:p>
          <w:bookmarkEnd w:id="0"/>
          <w:p w14:paraId="5AAE61EE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- довідку, що містить відомості про Учасника згідно з додатком № 1 або № 2 цієї тендерної документації;</w:t>
            </w:r>
          </w:p>
          <w:p w14:paraId="6EEFCC9D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- інформацію та документи, що підтверджують відповідність Учасника кваліфікаційним критеріям відповідно до статті 16 Закону, згідно з додатком № 3 цієї тендерної документації;</w:t>
            </w:r>
          </w:p>
          <w:p w14:paraId="0089851F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документи,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(повноваження щодо підпису документів тендерної пропозиції учасника процедури закупівлі підтверджується випискою з протоколу засновників та наказом про призначення, довіреністю, дорученням або іншим документом, що підтверджує повноваження посадової особи учасника на підписання документів) згідно з додатком № 4 цієї тендерної документації;</w:t>
            </w:r>
          </w:p>
          <w:p w14:paraId="36C4A0E6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- довідку про субпідрядника(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F432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співвиконавця(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) згідно з додатком № 5 цієї тендерної документації;</w:t>
            </w:r>
          </w:p>
          <w:p w14:paraId="305D5898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- забезпечення тендерної пропозиції, як гарантії (далі – гарантія) відповідно до п.3.2 цього розділу;</w:t>
            </w:r>
          </w:p>
          <w:p w14:paraId="081C97A3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Статут для юридичної особи в останній (діючій) редакції (у разі якщо юридичну особу в процедурі закупівлі представляє відокремлений підрозділ надається також Положення про підрозділ). Якщо реєстрація Статуту або змін до нього відбулась після 23.02.2016 необхідно надати копію опису з кодом доступу (опис документів, що надаються юридичною особою державному реєстратору для проведення реєстраційної дії);</w:t>
            </w:r>
          </w:p>
          <w:p w14:paraId="4BF20894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-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Замовником, згідно з додатком № 6</w:t>
            </w:r>
            <w:r w:rsidRPr="00EF432B">
              <w:rPr>
                <w:rFonts w:ascii="Arial" w:eastAsia="Times New Roman" w:hAnsi="Arial" w:cs="Arial"/>
              </w:rPr>
              <w:t xml:space="preserve"> 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цієї тендерної документації та відповідно до пункту 3.7 цієї тендерної документації;</w:t>
            </w:r>
          </w:p>
          <w:p w14:paraId="1F3FF0BB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- інформацію (довідку, гарантійний лист, тощо в довільній формі) щодо погодження з проектом договору, відповідно до додатку № 9 цієї тендерної документації;</w:t>
            </w:r>
          </w:p>
          <w:p w14:paraId="7302FD0A" w14:textId="77777777" w:rsidR="005745C5" w:rsidRPr="00EF432B" w:rsidRDefault="005745C5" w:rsidP="00540E68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 (довідку, гарантійний лист, тощо в довільній формі)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щодо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надання послуг відповідно до технічної 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специфікації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, у строк обумовлений проектом договору та за ціною, яка за результатами електронного аукціону визначена економічно вигідною;</w:t>
            </w:r>
          </w:p>
          <w:p w14:paraId="54B250EF" w14:textId="77777777" w:rsidR="005745C5" w:rsidRPr="00EF432B" w:rsidRDefault="005745C5" w:rsidP="00540E68">
            <w:pPr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- Довідка, складена у довільній формі, в якій Учасник гарантує застосування заходів із захисту довкілля під час надання послуг.</w:t>
            </w:r>
            <w:r w:rsidRPr="00EF43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57D7B4AB" w14:textId="77777777" w:rsidR="005745C5" w:rsidRPr="00EF432B" w:rsidRDefault="005745C5" w:rsidP="00540E68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 ліцензії або документа дозвільного характеру на провадження виду господарської діяльності відповідно до предмету закупівлі ( у випадку якщо передбачено законодавством);</w:t>
            </w:r>
          </w:p>
          <w:p w14:paraId="093AE7C8" w14:textId="77777777" w:rsidR="005745C5" w:rsidRPr="00EF432B" w:rsidRDefault="005745C5" w:rsidP="00540E68">
            <w:pPr>
              <w:widowControl w:val="0"/>
              <w:spacing w:after="0" w:line="240" w:lineRule="auto"/>
              <w:ind w:firstLine="51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інформації в довільній формі про те, що Учасник процедури закупівлі не є – </w:t>
            </w:r>
            <w:r w:rsidRPr="00EF4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</w:t>
            </w:r>
            <w:r w:rsidRPr="00EF4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бенефіціарним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 № 1178 «Про затвердження особливостей здійснення публічних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закупівель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скасування»).</w:t>
            </w:r>
          </w:p>
          <w:p w14:paraId="33DA8719" w14:textId="77777777" w:rsidR="005745C5" w:rsidRPr="00EF432B" w:rsidRDefault="005745C5" w:rsidP="00540E68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підтвердження інформації зазначеної у довідці в довільній формі учасник надає Витяг з Єдиного державного реєстру юридичних осіб, фізичних осіб - підприємців та громадських формувань.</w:t>
            </w:r>
          </w:p>
          <w:p w14:paraId="617DA0B3" w14:textId="77777777" w:rsidR="005745C5" w:rsidRPr="00EF432B" w:rsidRDefault="005745C5" w:rsidP="00540E68">
            <w:pPr>
              <w:widowControl w:val="0"/>
              <w:spacing w:after="0" w:line="240" w:lineRule="auto"/>
              <w:ind w:firstLine="51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 разі ненадання Учасником довідки в довільній формі та / або Витягу з Єдиного державного реєстру юридичних осіб, фізичних осіб - підприємців та громадських формувань та / або у випадку якщо учасник процедури закупівлі є– </w:t>
            </w:r>
            <w:r w:rsidRPr="00EF4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бенефіціарним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 № 1178 «Про затвердження особливостей здійснення публічних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закупівель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товарів, робіт і послуг для замовників, </w:t>
            </w:r>
            <w:r w:rsidRPr="00EF4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скасування»)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замовник відхиляє такого учасника на підставі абзацу 7 підпункту 1 пункту 44 Особливостей, а саме: учасник процедури закупівлі є юридичною особою).;</w:t>
            </w:r>
          </w:p>
          <w:p w14:paraId="2B8ACBF8" w14:textId="77777777" w:rsidR="005745C5" w:rsidRPr="00EF432B" w:rsidRDefault="005745C5" w:rsidP="00540E68">
            <w:pPr>
              <w:widowControl w:val="0"/>
              <w:spacing w:before="96" w:after="0" w:line="240" w:lineRule="auto"/>
              <w:ind w:left="34" w:right="113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 разі якщо тендерна пропозиція подається об'єднанням учасників, до неї обов'язково включається документ про створення такого об'єднання.  </w:t>
            </w:r>
          </w:p>
          <w:p w14:paraId="06BFB3E0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 надається лише та інформація (документи, довідки та інше), яка вимагається у тендерній документації Замовником. Учасник у складі тендерної пропозиції може, за необхідністю надавати пояснення, що стосуються документів і інформації, наданої ним на виконання вимог тендерної документації.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тендерної пропозиції, не може бути підставою для її відхилення замовником.</w:t>
            </w:r>
          </w:p>
          <w:p w14:paraId="0364567F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 документів переможцем торгів:</w:t>
            </w:r>
          </w:p>
          <w:p w14:paraId="3B56E981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Замовник не вимагає від учасника процедури закупівлі під час подання тендерної пропозиції в електронній системі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закупівель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будь-яких документів, що підтверджують відсутність підстав, визначених у 47 пункті Особливостей (крім підпунктів 1 і 7,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цього пункту. </w:t>
            </w:r>
          </w:p>
          <w:p w14:paraId="1048C984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документи, що підтверджують відсутність підстав, зазначених у підпунктах 3, 5, 6 і 12 та в абзаці чотирнадцятому 47 пункту Особливостей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, згідно з додатком № 7 цієї тендерної документації.</w:t>
            </w:r>
          </w:p>
          <w:p w14:paraId="536783A6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      </w:r>
          </w:p>
          <w:p w14:paraId="45326812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У випадку ненадання, невчасного надання Переможцем зазначеної інформації, тягне за собою відхилення пропозиції  з урахуванням пункту 44 Особливостей.</w:t>
            </w:r>
          </w:p>
          <w:p w14:paraId="39CF628A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процедури закупівлі під час укладення договору про закупівлю повинен надати:</w:t>
            </w:r>
          </w:p>
          <w:p w14:paraId="64042677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відповідну інформацію про право підписання договору про закупівлю (якщо Переможець є товариством з обмеженою чи додатковою відповідальністю, на виконання вимоги ч.2. статті 44 Закону України «Про товариства з обмеженою та додатковою відповідальністю» №2275-VIII, у випадку, якщо за процедурою закупівлі ціна акцептованої пропозиції Переможця перевищує 50 відсотків вартості чистих активів товариства станом на кінець попереднього кварталу, то Переможець надає завірене в 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установленому порядку Рішення загальних зборів товариства про надання згоди на укладання (підписання) договору. За відсутності встановлених ч.2. статті 44 Закону України «Про товариства з обмеженою та додатковою відповідальністю»              № 2275-VIII підстав, Переможець надає довідку про те, що сума договору не перевищує 50 відсотків вартості чистих активів цього товариства станом на кінець попереднього кварталу);</w:t>
            </w:r>
          </w:p>
          <w:p w14:paraId="0E44975F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законом;</w:t>
            </w:r>
          </w:p>
          <w:p w14:paraId="786FDFD0" w14:textId="77777777" w:rsidR="005745C5" w:rsidRPr="00EF432B" w:rsidRDefault="005745C5" w:rsidP="00540E68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3) не пізніше дати укладення договору про закупівлю Учасник надає гарантію забезпечення виконання договору, якщо надання такого забезпечення передбачено тендерною документацією.</w:t>
            </w:r>
          </w:p>
          <w:p w14:paraId="76EA39A0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      </w:r>
          </w:p>
          <w:p w14:paraId="12B1B420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Ціною тендерної пропозиції вважається сума, зазначена учасником у його тендерній пропозиції як загальна сума, за яку він погоджується виконати умови закупівлі згідно вимог замовника, в тому числі з урахуванням технічних, якісних та кількісних характеристик предмету закупівлі, всіх умов виконання договору, та з урахуванням сум належних податків, зборів і всіх обов’язкових платежів, які сплачує учасник.</w:t>
            </w:r>
          </w:p>
          <w:p w14:paraId="4657F2FC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якщо тендерна пропозиція подається об’єднанням учасників, до неї обов’язково включається документ про створення такого об’єднання.</w:t>
            </w:r>
          </w:p>
          <w:p w14:paraId="371192B3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Відповідальність за недостовірну інформацію, надану у складі тендерної пропозиції, несе Учасник.</w:t>
            </w:r>
          </w:p>
          <w:p w14:paraId="3835BF1C" w14:textId="77777777" w:rsidR="005745C5" w:rsidRPr="00EF432B" w:rsidRDefault="005745C5" w:rsidP="00540E68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 учасник має право подати тільки одну тендерну пропозицію.</w:t>
            </w:r>
          </w:p>
        </w:tc>
      </w:tr>
    </w:tbl>
    <w:p w14:paraId="47E68727" w14:textId="77777777" w:rsidR="005745C5" w:rsidRDefault="005745C5" w:rsidP="005745C5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1DBB43D" w14:textId="77777777" w:rsidR="005745C5" w:rsidRPr="00EF432B" w:rsidRDefault="005745C5" w:rsidP="005745C5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EF432B">
        <w:rPr>
          <w:rFonts w:ascii="Times New Roman" w:eastAsia="Times New Roman" w:hAnsi="Times New Roman"/>
          <w:b/>
          <w:bCs/>
          <w:sz w:val="24"/>
          <w:szCs w:val="24"/>
        </w:rPr>
        <w:t xml:space="preserve">В таблиці 2 додатку 3 до Тендерної документації </w:t>
      </w:r>
      <w:r w:rsidRPr="00EF432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виключено вимогу </w:t>
      </w:r>
      <w:r w:rsidRPr="00EF432B">
        <w:rPr>
          <w:rFonts w:ascii="Times New Roman" w:hAnsi="Times New Roman"/>
          <w:b/>
          <w:bCs/>
          <w:sz w:val="24"/>
          <w:szCs w:val="24"/>
        </w:rPr>
        <w:t xml:space="preserve">та викладено у новій редакції: </w:t>
      </w:r>
    </w:p>
    <w:p w14:paraId="149E81FF" w14:textId="77777777" w:rsidR="005745C5" w:rsidRPr="00EF432B" w:rsidRDefault="005745C5" w:rsidP="005745C5">
      <w:pPr>
        <w:spacing w:line="240" w:lineRule="auto"/>
        <w:ind w:left="173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32B">
        <w:rPr>
          <w:rFonts w:ascii="Times New Roman" w:eastAsia="Times New Roman" w:hAnsi="Times New Roman" w:cs="Times New Roman"/>
          <w:i/>
          <w:sz w:val="24"/>
          <w:szCs w:val="24"/>
        </w:rPr>
        <w:t xml:space="preserve"> Додаток № 3</w:t>
      </w:r>
    </w:p>
    <w:p w14:paraId="1FEDD49A" w14:textId="77777777" w:rsidR="005745C5" w:rsidRPr="00EF432B" w:rsidRDefault="005745C5" w:rsidP="005745C5">
      <w:pPr>
        <w:spacing w:after="0" w:line="240" w:lineRule="auto"/>
        <w:ind w:left="173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432B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14:paraId="0201DDEF" w14:textId="77777777" w:rsidR="005745C5" w:rsidRPr="00EF432B" w:rsidRDefault="005745C5" w:rsidP="005745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432B">
        <w:rPr>
          <w:rFonts w:ascii="Times New Roman" w:eastAsia="Times New Roman" w:hAnsi="Times New Roman" w:cs="Times New Roman"/>
          <w:i/>
          <w:sz w:val="24"/>
          <w:szCs w:val="24"/>
        </w:rPr>
        <w:t>Таблиця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5745C5" w:rsidRPr="00EF432B" w14:paraId="72DE4F8D" w14:textId="77777777" w:rsidTr="00540E68">
        <w:tc>
          <w:tcPr>
            <w:tcW w:w="9855" w:type="dxa"/>
          </w:tcPr>
          <w:p w14:paraId="1CABBFF7" w14:textId="77777777" w:rsidR="005745C5" w:rsidRPr="00EF432B" w:rsidRDefault="005745C5" w:rsidP="00540E68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від _________202__ р. № __________</w:t>
            </w:r>
          </w:p>
          <w:p w14:paraId="03F02BAC" w14:textId="77777777" w:rsidR="005745C5" w:rsidRPr="00EF432B" w:rsidRDefault="005745C5" w:rsidP="00540E68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дата та вихідний № Учасника</w:t>
            </w:r>
          </w:p>
          <w:p w14:paraId="2FC80DCC" w14:textId="77777777" w:rsidR="005745C5" w:rsidRPr="00EF432B" w:rsidRDefault="005745C5" w:rsidP="00540E68">
            <w:pPr>
              <w:shd w:val="clear" w:color="auto" w:fill="FFFFFF"/>
              <w:spacing w:after="0" w:line="240" w:lineRule="auto"/>
              <w:ind w:left="5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28C61A4F" w14:textId="77777777" w:rsidR="005745C5" w:rsidRPr="00EF432B" w:rsidRDefault="005745C5" w:rsidP="00540E68">
            <w:pPr>
              <w:shd w:val="clear" w:color="auto" w:fill="FFFFFF"/>
              <w:spacing w:after="0" w:line="240" w:lineRule="auto"/>
              <w:ind w:left="5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(найменування Замовника)</w:t>
            </w:r>
          </w:p>
          <w:p w14:paraId="52EC2250" w14:textId="77777777" w:rsidR="005745C5" w:rsidRPr="00EF432B" w:rsidRDefault="005745C5" w:rsidP="00540E68">
            <w:pPr>
              <w:shd w:val="clear" w:color="auto" w:fill="FFFFFF"/>
              <w:spacing w:after="0" w:line="240" w:lineRule="auto"/>
              <w:ind w:left="5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43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(назва предмета закупівлі)</w:t>
            </w:r>
          </w:p>
          <w:p w14:paraId="47ED3A31" w14:textId="77777777" w:rsidR="005745C5" w:rsidRPr="00EF432B" w:rsidRDefault="005745C5" w:rsidP="00540E68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559EC7B0" w14:textId="77777777" w:rsidR="005745C5" w:rsidRPr="00EF432B" w:rsidRDefault="005745C5" w:rsidP="00574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F8154" w14:textId="77777777" w:rsidR="005745C5" w:rsidRPr="00EF432B" w:rsidRDefault="005745C5" w:rsidP="005745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5F15DEA" w14:textId="77777777" w:rsidR="005745C5" w:rsidRPr="00EF432B" w:rsidRDefault="005745C5" w:rsidP="005745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ІНФОРМАЦІЯ ПРО СПОСІБ ДОКУМЕНТАЛЬНОГО ПІДТВЕРДЖЕННЯ</w:t>
      </w:r>
    </w:p>
    <w:p w14:paraId="07ACB127" w14:textId="77777777" w:rsidR="005745C5" w:rsidRPr="00EF432B" w:rsidRDefault="005745C5" w:rsidP="005745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ВІДПОВІДНОСТІ УЧАСНИКІВ ВСТАНОВЛЕНИХ ЗАМОВНИКОМ</w:t>
      </w:r>
    </w:p>
    <w:p w14:paraId="0714E22A" w14:textId="77777777" w:rsidR="005745C5" w:rsidRPr="00EF432B" w:rsidRDefault="005745C5" w:rsidP="005745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КВАЛІФІКАЦІЙНИМ КРИТЕРІЯМ ВІДПОВІДНО ДО СТАТТІ 16 ЗАКОНУ</w:t>
      </w:r>
    </w:p>
    <w:p w14:paraId="47351330" w14:textId="77777777" w:rsidR="005745C5" w:rsidRPr="00EF432B" w:rsidRDefault="005745C5" w:rsidP="005745C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5A2DFF8A" w14:textId="77777777" w:rsidR="005745C5" w:rsidRPr="00EF432B" w:rsidRDefault="005745C5" w:rsidP="005745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EF43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Інформація</w:t>
      </w:r>
      <w:proofErr w:type="spellEnd"/>
      <w:r w:rsidRPr="00EF43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</w:t>
      </w:r>
      <w:r w:rsidRPr="00EF4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 </w:t>
      </w:r>
      <w:proofErr w:type="spellStart"/>
      <w:r w:rsidRPr="00EF4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наявність</w:t>
      </w:r>
      <w:proofErr w:type="spellEnd"/>
      <w:r w:rsidRPr="00EF4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обладнання</w:t>
      </w:r>
      <w:proofErr w:type="spellEnd"/>
      <w:r w:rsidRPr="00EF4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3049"/>
        <w:gridCol w:w="1691"/>
        <w:gridCol w:w="2104"/>
        <w:gridCol w:w="2270"/>
      </w:tblGrid>
      <w:tr w:rsidR="005745C5" w:rsidRPr="00EF432B" w14:paraId="49ABA669" w14:textId="77777777" w:rsidTr="00540E68">
        <w:tc>
          <w:tcPr>
            <w:tcW w:w="894" w:type="dxa"/>
          </w:tcPr>
          <w:p w14:paraId="31B12893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Ч.ч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49" w:type="dxa"/>
          </w:tcPr>
          <w:p w14:paraId="746E6844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  <w:proofErr w:type="gram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устаткування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91" w:type="dxa"/>
          </w:tcPr>
          <w:p w14:paraId="4AA2E2E0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  <w:tc>
          <w:tcPr>
            <w:tcW w:w="2104" w:type="dxa"/>
          </w:tcPr>
          <w:p w14:paraId="65E6940C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Власне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орендоване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залучене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іншому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праві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2270" w:type="dxa"/>
          </w:tcPr>
          <w:p w14:paraId="59CA870B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Документ,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підтверджуючий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приналежність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** (№ та дата договору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оренди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745C5" w:rsidRPr="00EF432B" w14:paraId="55668FDB" w14:textId="77777777" w:rsidTr="00540E68">
        <w:tc>
          <w:tcPr>
            <w:tcW w:w="894" w:type="dxa"/>
          </w:tcPr>
          <w:p w14:paraId="591BD5D2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</w:tcPr>
          <w:p w14:paraId="1BE6C4AA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91" w:type="dxa"/>
          </w:tcPr>
          <w:p w14:paraId="7F136C65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04" w:type="dxa"/>
          </w:tcPr>
          <w:p w14:paraId="27325933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70" w:type="dxa"/>
          </w:tcPr>
          <w:p w14:paraId="5194D2C4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745C5" w:rsidRPr="00EF432B" w14:paraId="5CE21ECE" w14:textId="77777777" w:rsidTr="00540E68">
        <w:tc>
          <w:tcPr>
            <w:tcW w:w="894" w:type="dxa"/>
          </w:tcPr>
          <w:p w14:paraId="5AA9988D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49" w:type="dxa"/>
          </w:tcPr>
          <w:p w14:paraId="374E4AD1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</w:tcPr>
          <w:p w14:paraId="5198F57D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740E93C6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6E480B30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745C5" w:rsidRPr="00EF432B" w14:paraId="55BEB1E8" w14:textId="77777777" w:rsidTr="00540E68">
        <w:tc>
          <w:tcPr>
            <w:tcW w:w="894" w:type="dxa"/>
          </w:tcPr>
          <w:p w14:paraId="69C4B41A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49" w:type="dxa"/>
          </w:tcPr>
          <w:p w14:paraId="3A3E3F88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</w:tcPr>
          <w:p w14:paraId="01182871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16D416F9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61821078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745C5" w:rsidRPr="00EF432B" w14:paraId="41523859" w14:textId="77777777" w:rsidTr="00540E68">
        <w:tc>
          <w:tcPr>
            <w:tcW w:w="894" w:type="dxa"/>
          </w:tcPr>
          <w:p w14:paraId="0FBBFF6E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49" w:type="dxa"/>
          </w:tcPr>
          <w:p w14:paraId="3A42D2E3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</w:tcPr>
          <w:p w14:paraId="30A12396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30DEF228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73FCB900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745C5" w:rsidRPr="00EF432B" w14:paraId="65E643B7" w14:textId="77777777" w:rsidTr="00540E68">
        <w:tc>
          <w:tcPr>
            <w:tcW w:w="894" w:type="dxa"/>
          </w:tcPr>
          <w:p w14:paraId="0A489836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49" w:type="dxa"/>
          </w:tcPr>
          <w:p w14:paraId="1E03F5FC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</w:tcPr>
          <w:p w14:paraId="19007806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14:paraId="42094FDA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7A493795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DC0B599" w14:textId="77777777" w:rsidR="005745C5" w:rsidRPr="00EF432B" w:rsidRDefault="005745C5" w:rsidP="005745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* -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є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власником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зазначається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власний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», в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випадках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зазначається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користування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машин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механізмів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оренди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лізингу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інше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використання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75037A8E" w14:textId="77777777" w:rsidR="005745C5" w:rsidRPr="00EF432B" w:rsidRDefault="005745C5" w:rsidP="005745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** -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зазначається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номер та дата документу,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як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підтверджуючий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 графи</w:t>
      </w:r>
      <w:proofErr w:type="gram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Таблиці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1. </w:t>
      </w:r>
    </w:p>
    <w:p w14:paraId="2181A0D5" w14:textId="77777777" w:rsidR="005745C5" w:rsidRPr="00EF432B" w:rsidRDefault="005745C5" w:rsidP="005745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Для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підтвердження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наявності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власного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обладнання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(машин,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механізмів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приладів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складі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надає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503DFFA" w14:textId="77777777" w:rsidR="005745C5" w:rsidRPr="00EF432B" w:rsidRDefault="005745C5" w:rsidP="005745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на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технічні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засоби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машини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механізми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прилади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підлягають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обов’язковій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державній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реєстрації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копії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свідоцтв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реєстрацію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0B43013" w14:textId="77777777" w:rsidR="005745C5" w:rsidRPr="00EF432B" w:rsidRDefault="005745C5" w:rsidP="005745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на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інше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обладнання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машини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механізми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приладів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реєстрація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передбачена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діючим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бухгалтерську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довідку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наявність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бухгалтерському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обліку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учасника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дату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тендерної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Довідці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наявність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обладнання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технічної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бази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необхідних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предметом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машин,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механізмів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обладнання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устаткування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вказівкою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найменування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кількості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інвентарного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номеру,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балансової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вартості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активу. </w:t>
      </w:r>
    </w:p>
    <w:p w14:paraId="1BA4E980" w14:textId="77777777" w:rsidR="005745C5" w:rsidRPr="00EF432B" w:rsidRDefault="005745C5" w:rsidP="005745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техніка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обладнання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є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власністю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Учасника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 залучена, то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Учасником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вказані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довідці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транспортні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засоби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машини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механізми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обладнання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устаткування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додатково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подаються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09E8781" w14:textId="77777777" w:rsidR="005745C5" w:rsidRPr="00EF432B" w:rsidRDefault="005745C5" w:rsidP="005745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посвідчені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умов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тендерної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документації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копії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дійсних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чинних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всього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строку* договору про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договорів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оренди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лізингу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суборенди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(*договори,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посвідчують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користування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оренди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лізингу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суборенди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на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вказані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довідках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транспортні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засоби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обладнання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устаткування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тощо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Учасником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складі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тендерної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мають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укладені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строк</w:t>
      </w:r>
      <w:proofErr w:type="gram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дорівнює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перевищує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строк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містити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можливість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пролонгації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у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строк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менше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строку договору про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на строк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7CC12116" w14:textId="77777777" w:rsidR="005745C5" w:rsidRPr="00EF432B" w:rsidRDefault="005745C5" w:rsidP="005745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акт(и)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приймання-передачі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інший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(і) документ(и),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(і)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підтверджує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ють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факт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Учасником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таких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транспортних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засобів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механізмів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обладнання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устаткування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тощо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договорів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(у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коли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вимогами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чинного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законодавства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та/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умовами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договорів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передбачено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складання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181F3A8C" w14:textId="77777777" w:rsidR="005745C5" w:rsidRPr="00EF432B" w:rsidRDefault="005745C5" w:rsidP="005745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оригінал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листа-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підтвердження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орендодавця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лізингодавця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іншої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особи, яка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зазначена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відповідному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договорі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заперечення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використання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машин,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механізмів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приладів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тощо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Учасником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предметом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весь строк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115DE29" w14:textId="77777777" w:rsidR="005745C5" w:rsidRPr="00EF432B" w:rsidRDefault="005745C5" w:rsidP="005745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У тому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орендодавець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лізингодавець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особи,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є стороною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наданого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Учасником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складі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тендерної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оренди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лізингу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тощо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не є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власниками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цієї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техніки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тендерна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пропозиція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Учасника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також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містити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EF88171" w14:textId="77777777" w:rsidR="005745C5" w:rsidRPr="00EF432B" w:rsidRDefault="005745C5" w:rsidP="005745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належним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чином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посвідчену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власником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(з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дотриманням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законодавства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порядку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посвідчення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підпису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фізичних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осіб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копію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документу,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підтверджує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власності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вказану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техніку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E8AAEE1" w14:textId="77777777" w:rsidR="005745C5" w:rsidRPr="00EF432B" w:rsidRDefault="005745C5" w:rsidP="005745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копії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договорів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укладених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власником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підтверджують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орендодавця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лізингодавця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осіб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є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власниками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цієї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техніки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надавати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користування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техніку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необхідну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робіт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на весь строк за предметом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963E973" w14:textId="77777777" w:rsidR="005745C5" w:rsidRPr="00EF432B" w:rsidRDefault="005745C5" w:rsidP="005745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копії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акту(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приймання-передачі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інший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(і) документ(и),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(і)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підтверджує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ють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факт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передачі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техніки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договорів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(у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коли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вимогами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чинного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законодавства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та/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умовами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договорів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передбачено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складання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58FF8FFB" w14:textId="77777777" w:rsidR="005745C5" w:rsidRPr="00EF432B" w:rsidRDefault="005745C5" w:rsidP="005745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торгів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також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повинен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надати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інформаційну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довідку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довільній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наявність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технічної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бази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власна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орендована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.) 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офісних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приміщень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складських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приміщень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тощо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необхідної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технічного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завдання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також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дотриманням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технології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згідно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діючими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нормами і правилами. </w:t>
      </w:r>
    </w:p>
    <w:p w14:paraId="5F437AA8" w14:textId="77777777" w:rsidR="005745C5" w:rsidRPr="00EF432B" w:rsidRDefault="005745C5" w:rsidP="005745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цій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довідці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зазначена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згідно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наведеної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Таблиці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2.</w:t>
      </w:r>
    </w:p>
    <w:p w14:paraId="3AC55D24" w14:textId="77777777" w:rsidR="005745C5" w:rsidRPr="00EF432B" w:rsidRDefault="005745C5" w:rsidP="005745C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</w:p>
    <w:p w14:paraId="40930D50" w14:textId="77777777" w:rsidR="005745C5" w:rsidRPr="00EF432B" w:rsidRDefault="005745C5" w:rsidP="005745C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EF43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Таблиця 2</w:t>
      </w:r>
    </w:p>
    <w:p w14:paraId="64728ABB" w14:textId="77777777" w:rsidR="005745C5" w:rsidRPr="00EF432B" w:rsidRDefault="005745C5" w:rsidP="005745C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</w:p>
    <w:p w14:paraId="19410B84" w14:textId="77777777" w:rsidR="005745C5" w:rsidRPr="00EF432B" w:rsidRDefault="005745C5" w:rsidP="005745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EF43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Інформація</w:t>
      </w:r>
      <w:proofErr w:type="spellEnd"/>
      <w:r w:rsidRPr="00EF43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про </w:t>
      </w:r>
      <w:proofErr w:type="spellStart"/>
      <w:r w:rsidRPr="00EF43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перелік</w:t>
      </w:r>
      <w:proofErr w:type="spellEnd"/>
      <w:r w:rsidRPr="00EF43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/>
        </w:rPr>
        <w:t>матеріально-технічної</w:t>
      </w:r>
      <w:proofErr w:type="spellEnd"/>
      <w:r w:rsidRPr="00EF432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/>
        </w:rPr>
        <w:t>бази</w:t>
      </w:r>
      <w:proofErr w:type="spellEnd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114"/>
        <w:gridCol w:w="2672"/>
        <w:gridCol w:w="2268"/>
        <w:gridCol w:w="2268"/>
      </w:tblGrid>
      <w:tr w:rsidR="005745C5" w:rsidRPr="00EF432B" w14:paraId="2C50F8F1" w14:textId="77777777" w:rsidTr="00540E68">
        <w:tc>
          <w:tcPr>
            <w:tcW w:w="885" w:type="dxa"/>
            <w:vAlign w:val="center"/>
          </w:tcPr>
          <w:p w14:paraId="6F6389C9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F43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Ч.ч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14" w:type="dxa"/>
            <w:vAlign w:val="center"/>
          </w:tcPr>
          <w:p w14:paraId="58A9E51F" w14:textId="77777777" w:rsidR="005745C5" w:rsidRPr="00EF432B" w:rsidRDefault="005745C5" w:rsidP="00540E68">
            <w:pPr>
              <w:spacing w:after="0" w:line="276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F43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2672" w:type="dxa"/>
            <w:vAlign w:val="center"/>
          </w:tcPr>
          <w:p w14:paraId="08C7AEE8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Місцезнаходження</w:t>
            </w:r>
            <w:proofErr w:type="spellEnd"/>
          </w:p>
        </w:tc>
        <w:tc>
          <w:tcPr>
            <w:tcW w:w="2268" w:type="dxa"/>
            <w:vAlign w:val="center"/>
          </w:tcPr>
          <w:p w14:paraId="6F8DA92F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Зазначення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приналежності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2268" w:type="dxa"/>
            <w:vAlign w:val="center"/>
          </w:tcPr>
          <w:p w14:paraId="28A0650A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Документ,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підтверджуючий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приналежність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** (</w:t>
            </w:r>
            <w:proofErr w:type="spellStart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EF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документу, номер, дата)</w:t>
            </w:r>
          </w:p>
        </w:tc>
      </w:tr>
      <w:tr w:rsidR="005745C5" w:rsidRPr="00EF432B" w14:paraId="3424B9EC" w14:textId="77777777" w:rsidTr="00540E68">
        <w:tc>
          <w:tcPr>
            <w:tcW w:w="885" w:type="dxa"/>
          </w:tcPr>
          <w:p w14:paraId="396AF3E4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F43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14" w:type="dxa"/>
          </w:tcPr>
          <w:p w14:paraId="571B5076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F43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72" w:type="dxa"/>
          </w:tcPr>
          <w:p w14:paraId="4DEAA884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F43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14:paraId="3E4FAE23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F43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14:paraId="11D85AEC" w14:textId="77777777" w:rsidR="005745C5" w:rsidRPr="00EF432B" w:rsidRDefault="005745C5" w:rsidP="005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F43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745C5" w:rsidRPr="00EF432B" w14:paraId="7A533591" w14:textId="77777777" w:rsidTr="00540E68">
        <w:tc>
          <w:tcPr>
            <w:tcW w:w="885" w:type="dxa"/>
          </w:tcPr>
          <w:p w14:paraId="7FFD5052" w14:textId="77777777" w:rsidR="005745C5" w:rsidRPr="00EF432B" w:rsidRDefault="005745C5" w:rsidP="00540E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14:paraId="33FF65D5" w14:textId="77777777" w:rsidR="005745C5" w:rsidRPr="00EF432B" w:rsidRDefault="005745C5" w:rsidP="00540E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72" w:type="dxa"/>
          </w:tcPr>
          <w:p w14:paraId="67F26296" w14:textId="77777777" w:rsidR="005745C5" w:rsidRPr="00EF432B" w:rsidRDefault="005745C5" w:rsidP="00540E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8BCF5E6" w14:textId="77777777" w:rsidR="005745C5" w:rsidRPr="00EF432B" w:rsidRDefault="005745C5" w:rsidP="00540E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432577D" w14:textId="77777777" w:rsidR="005745C5" w:rsidRPr="00EF432B" w:rsidRDefault="005745C5" w:rsidP="00540E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53AEFBD" w14:textId="77777777" w:rsidR="005745C5" w:rsidRPr="00EF432B" w:rsidRDefault="005745C5" w:rsidP="005745C5">
      <w:pPr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*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є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власником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зазначається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власний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», в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випадках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зазначається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користування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оренди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лізингу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інший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спосіб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визначений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210C0D70" w14:textId="77777777" w:rsidR="005745C5" w:rsidRPr="00EF432B" w:rsidRDefault="005745C5" w:rsidP="005745C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**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зазначається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номер та дата документу,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як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підтверджуючий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 графи</w:t>
      </w:r>
      <w:proofErr w:type="gram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Таблиці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2. </w:t>
      </w:r>
    </w:p>
    <w:p w14:paraId="666C4B1D" w14:textId="77777777" w:rsidR="005745C5" w:rsidRPr="00EF432B" w:rsidRDefault="005745C5" w:rsidP="005745C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підтвердження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викладеної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довідці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надає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38A9809" w14:textId="77777777" w:rsidR="005745C5" w:rsidRPr="00EF432B" w:rsidRDefault="005745C5" w:rsidP="005745C5">
      <w:pPr>
        <w:numPr>
          <w:ilvl w:val="0"/>
          <w:numId w:val="1"/>
        </w:numPr>
        <w:autoSpaceDE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завірені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копії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підтверджують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власності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Учасника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об’єкти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перелічені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Учасником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Таблиці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2. </w:t>
      </w:r>
    </w:p>
    <w:p w14:paraId="56F77ED0" w14:textId="77777777" w:rsidR="005745C5" w:rsidRPr="00EF432B" w:rsidRDefault="005745C5" w:rsidP="005745C5">
      <w:pPr>
        <w:numPr>
          <w:ilvl w:val="0"/>
          <w:numId w:val="1"/>
        </w:numPr>
        <w:autoSpaceDE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завірені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копії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дійсних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чинних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всього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строку*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договорів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оренди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лізингу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суборенди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(*договори,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посвідчують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користування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оренди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лізингу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суборенди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на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вказані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довідках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об’єкти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є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власністю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Учасника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мають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укладені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строк,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дорівнює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перевищує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строк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містити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можливість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пролонгації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у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якщо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строк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менше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строку договору про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на строк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робіт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приймання-передачі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інший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(і) документ(и),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(і)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підтверджує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ють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факт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передачі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Учаснику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таких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об’єктів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договорів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(у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коли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вимогами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чинного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законодавства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та/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умовами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зазначених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договорів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передбачено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складання</w:t>
      </w:r>
      <w:proofErr w:type="spellEnd"/>
      <w:r w:rsidRPr="00EF4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6FC8E0D4" w14:textId="77777777" w:rsidR="005745C5" w:rsidRPr="00EF432B" w:rsidRDefault="005745C5" w:rsidP="005745C5">
      <w:pPr>
        <w:autoSpaceDE w:val="0"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8661B1B" w14:textId="77777777" w:rsidR="005745C5" w:rsidRPr="00EF432B" w:rsidRDefault="005745C5" w:rsidP="005745C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2A9879" w14:textId="77777777" w:rsidR="005745C5" w:rsidRPr="00EF432B" w:rsidRDefault="005745C5" w:rsidP="005745C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D28469B" w14:textId="77777777" w:rsidR="005745C5" w:rsidRPr="00EF432B" w:rsidRDefault="005745C5" w:rsidP="005745C5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415C253" w14:textId="77777777" w:rsidR="00345755" w:rsidRDefault="00345755"/>
    <w:sectPr w:rsidR="00345755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5140"/>
    <w:multiLevelType w:val="hybridMultilevel"/>
    <w:tmpl w:val="3B00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68"/>
    <w:rsid w:val="00345755"/>
    <w:rsid w:val="005745C5"/>
    <w:rsid w:val="00C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B9837-113C-41EF-9020-AF692D19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5C5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C5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3265</Words>
  <Characters>18616</Characters>
  <Application>Microsoft Office Word</Application>
  <DocSecurity>0</DocSecurity>
  <Lines>155</Lines>
  <Paragraphs>43</Paragraphs>
  <ScaleCrop>false</ScaleCrop>
  <Company/>
  <LinksUpToDate>false</LinksUpToDate>
  <CharactersWithSpaces>21838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2023-09-07T09:11:00Z</dcterms:created>
  <dcterms:modified xsi:type="dcterms:W3CDTF">2023-09-07T09:11:00Z</dcterms:modified>
</cp:coreProperties>
</file>