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03" w:rsidRDefault="00FF4003" w:rsidP="00FF4003">
      <w:pPr>
        <w:pageBreakBefore/>
        <w:suppressAutoHyphens w:val="0"/>
        <w:jc w:val="right"/>
      </w:pPr>
      <w:bookmarkStart w:id="0" w:name="_Hlk44401734"/>
      <w:r>
        <w:rPr>
          <w:b/>
          <w:spacing w:val="-3"/>
          <w:sz w:val="20"/>
          <w:szCs w:val="20"/>
        </w:rPr>
        <w:t>Додаток 1 до оголошення</w:t>
      </w:r>
    </w:p>
    <w:p w:rsidR="00FF4003" w:rsidRDefault="00FF4003" w:rsidP="00FF4003">
      <w:pPr>
        <w:keepLines/>
        <w:autoSpaceDE w:val="0"/>
        <w:jc w:val="right"/>
        <w:rPr>
          <w:b/>
          <w:spacing w:val="-3"/>
          <w:sz w:val="20"/>
          <w:szCs w:val="20"/>
        </w:rPr>
      </w:pPr>
    </w:p>
    <w:p w:rsidR="00FF4003" w:rsidRDefault="00FF4003" w:rsidP="00FF4003">
      <w:pPr>
        <w:widowControl w:val="0"/>
        <w:autoSpaceDE w:val="0"/>
        <w:jc w:val="center"/>
      </w:pPr>
      <w:r>
        <w:rPr>
          <w:b/>
          <w:bCs/>
          <w:sz w:val="28"/>
          <w:szCs w:val="28"/>
        </w:rPr>
        <w:t>ФОРМА "ПРОПОЗИЦІЯ"</w:t>
      </w:r>
    </w:p>
    <w:p w:rsidR="00FF4003" w:rsidRDefault="00FF4003" w:rsidP="00FF4003">
      <w:pPr>
        <w:widowControl w:val="0"/>
        <w:autoSpaceDE w:val="0"/>
        <w:jc w:val="center"/>
      </w:pPr>
      <w:r>
        <w:rPr>
          <w:i/>
        </w:rPr>
        <w:t>(форма, яка подається Учасником)</w:t>
      </w:r>
    </w:p>
    <w:p w:rsidR="00FF4003" w:rsidRDefault="00FF4003" w:rsidP="00FF4003">
      <w:pPr>
        <w:ind w:firstLine="708"/>
        <w:jc w:val="both"/>
      </w:pPr>
      <w:r>
        <w:rPr>
          <w:sz w:val="28"/>
          <w:szCs w:val="28"/>
        </w:rPr>
        <w:t>Ми,</w:t>
      </w:r>
      <w:r>
        <w:rPr>
          <w:b/>
          <w:sz w:val="28"/>
          <w:szCs w:val="28"/>
        </w:rPr>
        <w:t xml:space="preserve"> ___________________________________________________________ </w:t>
      </w:r>
    </w:p>
    <w:p w:rsidR="00FF4003" w:rsidRDefault="00FF4003" w:rsidP="00FF4003">
      <w:pPr>
        <w:ind w:firstLine="708"/>
        <w:jc w:val="both"/>
      </w:pPr>
      <w:r>
        <w:rPr>
          <w:i/>
          <w:sz w:val="20"/>
          <w:szCs w:val="20"/>
        </w:rPr>
        <w:t>(в цьому місці зазначається повне найменування юридичної особи/ПІБ фізичної особи - Учасника)</w:t>
      </w:r>
      <w:r>
        <w:rPr>
          <w:sz w:val="28"/>
          <w:szCs w:val="28"/>
        </w:rPr>
        <w:t xml:space="preserve"> надаємо свою пропозицію щодо участі у спрощеній закупівлі за предметом: </w:t>
      </w:r>
      <w:r>
        <w:rPr>
          <w:b/>
          <w:sz w:val="28"/>
          <w:szCs w:val="28"/>
        </w:rPr>
        <w:t xml:space="preserve">код </w:t>
      </w:r>
      <w:r>
        <w:rPr>
          <w:b/>
          <w:bCs/>
          <w:sz w:val="28"/>
          <w:szCs w:val="28"/>
        </w:rPr>
        <w:t>ДК 021:2015  –</w:t>
      </w:r>
      <w:r>
        <w:rPr>
          <w:b/>
          <w:bCs/>
          <w:color w:val="FF0000"/>
          <w:sz w:val="28"/>
          <w:szCs w:val="28"/>
        </w:rPr>
        <w:t xml:space="preserve"> </w:t>
      </w:r>
      <w:r>
        <w:rPr>
          <w:b/>
          <w:bCs/>
          <w:sz w:val="28"/>
          <w:szCs w:val="28"/>
        </w:rPr>
        <w:t>09110000-3 Тверде паливо</w:t>
      </w:r>
      <w:r>
        <w:rPr>
          <w:b/>
          <w:sz w:val="28"/>
          <w:szCs w:val="28"/>
        </w:rPr>
        <w:t>.</w:t>
      </w:r>
    </w:p>
    <w:p w:rsidR="00FF4003" w:rsidRDefault="00FF4003" w:rsidP="00FF4003">
      <w:pPr>
        <w:ind w:firstLine="708"/>
        <w:jc w:val="both"/>
      </w:pPr>
      <w:r>
        <w:rPr>
          <w:sz w:val="28"/>
          <w:szCs w:val="28"/>
        </w:rPr>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00" w:type="pct"/>
        <w:tblInd w:w="-7" w:type="dxa"/>
        <w:tblLayout w:type="fixed"/>
        <w:tblLook w:val="04A0" w:firstRow="1" w:lastRow="0" w:firstColumn="1" w:lastColumn="0" w:noHBand="0" w:noVBand="1"/>
      </w:tblPr>
      <w:tblGrid>
        <w:gridCol w:w="549"/>
        <w:gridCol w:w="3765"/>
        <w:gridCol w:w="1122"/>
        <w:gridCol w:w="838"/>
        <w:gridCol w:w="1549"/>
        <w:gridCol w:w="1835"/>
      </w:tblGrid>
      <w:tr w:rsidR="00FF4003" w:rsidTr="00FF4003">
        <w:trPr>
          <w:trHeight w:val="783"/>
        </w:trPr>
        <w:tc>
          <w:tcPr>
            <w:tcW w:w="536" w:type="dxa"/>
            <w:tcBorders>
              <w:top w:val="single" w:sz="6" w:space="0" w:color="000000"/>
              <w:left w:val="single" w:sz="6" w:space="0" w:color="000000"/>
              <w:bottom w:val="single" w:sz="4" w:space="0" w:color="000000"/>
              <w:right w:val="nil"/>
            </w:tcBorders>
            <w:vAlign w:val="center"/>
            <w:hideMark/>
          </w:tcPr>
          <w:p w:rsidR="00FF4003" w:rsidRDefault="00FF4003">
            <w:pPr>
              <w:pStyle w:val="a6"/>
              <w:jc w:val="center"/>
            </w:pPr>
            <w:r>
              <w:rPr>
                <w:rFonts w:ascii="Times New Roman" w:hAnsi="Times New Roman" w:cs="Times New Roman"/>
                <w:sz w:val="24"/>
                <w:szCs w:val="24"/>
              </w:rPr>
              <w:t>№</w:t>
            </w:r>
          </w:p>
          <w:p w:rsidR="00FF4003" w:rsidRDefault="00FF4003">
            <w:pPr>
              <w:pStyle w:val="a6"/>
              <w:jc w:val="center"/>
            </w:pPr>
            <w:r>
              <w:rPr>
                <w:rFonts w:ascii="Times New Roman" w:hAnsi="Times New Roman" w:cs="Times New Roman"/>
                <w:sz w:val="24"/>
                <w:szCs w:val="24"/>
              </w:rPr>
              <w:t>п/п</w:t>
            </w:r>
          </w:p>
        </w:tc>
        <w:tc>
          <w:tcPr>
            <w:tcW w:w="3682" w:type="dxa"/>
            <w:tcBorders>
              <w:top w:val="single" w:sz="6" w:space="0" w:color="000000"/>
              <w:left w:val="single" w:sz="6" w:space="0" w:color="000000"/>
              <w:bottom w:val="single" w:sz="4" w:space="0" w:color="000000"/>
              <w:right w:val="nil"/>
            </w:tcBorders>
            <w:vAlign w:val="center"/>
            <w:hideMark/>
          </w:tcPr>
          <w:p w:rsidR="00FF4003" w:rsidRDefault="00FF4003">
            <w:pPr>
              <w:pStyle w:val="a6"/>
              <w:jc w:val="center"/>
            </w:pPr>
            <w:r>
              <w:rPr>
                <w:rFonts w:ascii="Times New Roman" w:hAnsi="Times New Roman" w:cs="Times New Roman"/>
                <w:sz w:val="24"/>
                <w:szCs w:val="24"/>
              </w:rPr>
              <w:t>Найменування товару</w:t>
            </w:r>
          </w:p>
        </w:tc>
        <w:tc>
          <w:tcPr>
            <w:tcW w:w="1097" w:type="dxa"/>
            <w:tcBorders>
              <w:top w:val="single" w:sz="6" w:space="0" w:color="000000"/>
              <w:left w:val="single" w:sz="6" w:space="0" w:color="000000"/>
              <w:bottom w:val="single" w:sz="4" w:space="0" w:color="000000"/>
              <w:right w:val="nil"/>
            </w:tcBorders>
            <w:vAlign w:val="center"/>
            <w:hideMark/>
          </w:tcPr>
          <w:p w:rsidR="00FF4003" w:rsidRDefault="00FF4003">
            <w:pPr>
              <w:pStyle w:val="a6"/>
              <w:jc w:val="center"/>
            </w:pPr>
            <w:r>
              <w:rPr>
                <w:rFonts w:ascii="Times New Roman" w:hAnsi="Times New Roman" w:cs="Times New Roman"/>
                <w:sz w:val="24"/>
                <w:szCs w:val="24"/>
              </w:rPr>
              <w:t>Одиниця виміру</w:t>
            </w:r>
          </w:p>
        </w:tc>
        <w:tc>
          <w:tcPr>
            <w:tcW w:w="820" w:type="dxa"/>
            <w:tcBorders>
              <w:top w:val="single" w:sz="6" w:space="0" w:color="000000"/>
              <w:left w:val="single" w:sz="6" w:space="0" w:color="000000"/>
              <w:bottom w:val="single" w:sz="4" w:space="0" w:color="000000"/>
              <w:right w:val="nil"/>
            </w:tcBorders>
            <w:vAlign w:val="center"/>
            <w:hideMark/>
          </w:tcPr>
          <w:p w:rsidR="00FF4003" w:rsidRDefault="00FF4003">
            <w:pPr>
              <w:pStyle w:val="a6"/>
              <w:jc w:val="center"/>
            </w:pPr>
            <w:r>
              <w:rPr>
                <w:rFonts w:ascii="Times New Roman" w:hAnsi="Times New Roman" w:cs="Times New Roman"/>
                <w:sz w:val="24"/>
                <w:szCs w:val="24"/>
              </w:rPr>
              <w:t>К-ть</w:t>
            </w:r>
          </w:p>
        </w:tc>
        <w:tc>
          <w:tcPr>
            <w:tcW w:w="1515" w:type="dxa"/>
            <w:tcBorders>
              <w:top w:val="single" w:sz="6" w:space="0" w:color="000000"/>
              <w:left w:val="single" w:sz="6" w:space="0" w:color="000000"/>
              <w:bottom w:val="single" w:sz="4" w:space="0" w:color="000000"/>
              <w:right w:val="nil"/>
            </w:tcBorders>
            <w:vAlign w:val="center"/>
            <w:hideMark/>
          </w:tcPr>
          <w:p w:rsidR="00FF4003" w:rsidRDefault="00FF4003">
            <w:pPr>
              <w:pStyle w:val="a6"/>
              <w:jc w:val="center"/>
            </w:pPr>
            <w:r>
              <w:rPr>
                <w:rFonts w:ascii="Times New Roman" w:hAnsi="Times New Roman" w:cs="Times New Roman"/>
                <w:sz w:val="24"/>
                <w:szCs w:val="24"/>
              </w:rPr>
              <w:t>Ціна за одиницю з/без ПДВ, грн.</w:t>
            </w:r>
          </w:p>
        </w:tc>
        <w:tc>
          <w:tcPr>
            <w:tcW w:w="1795" w:type="dxa"/>
            <w:tcBorders>
              <w:top w:val="single" w:sz="6" w:space="0" w:color="000000"/>
              <w:left w:val="single" w:sz="6" w:space="0" w:color="000000"/>
              <w:bottom w:val="single" w:sz="4" w:space="0" w:color="000000"/>
              <w:right w:val="single" w:sz="6" w:space="0" w:color="000000"/>
            </w:tcBorders>
            <w:vAlign w:val="center"/>
            <w:hideMark/>
          </w:tcPr>
          <w:p w:rsidR="00FF4003" w:rsidRDefault="00FF4003">
            <w:pPr>
              <w:pStyle w:val="a6"/>
              <w:jc w:val="center"/>
            </w:pPr>
            <w:r>
              <w:rPr>
                <w:rFonts w:ascii="Times New Roman" w:hAnsi="Times New Roman" w:cs="Times New Roman"/>
                <w:sz w:val="24"/>
                <w:szCs w:val="24"/>
              </w:rPr>
              <w:t>Загальна вартість, грн. з/</w:t>
            </w:r>
            <w:r>
              <w:rPr>
                <w:rFonts w:ascii="Times New Roman" w:hAnsi="Times New Roman" w:cs="Times New Roman"/>
                <w:color w:val="auto"/>
                <w:sz w:val="24"/>
                <w:szCs w:val="24"/>
                <w:shd w:val="clear" w:color="auto" w:fill="FFFFFF"/>
              </w:rPr>
              <w:t>без</w:t>
            </w:r>
            <w:r>
              <w:rPr>
                <w:rFonts w:ascii="Times New Roman" w:hAnsi="Times New Roman" w:cs="Times New Roman"/>
                <w:color w:val="222222"/>
                <w:sz w:val="24"/>
                <w:szCs w:val="24"/>
                <w:shd w:val="clear" w:color="auto" w:fill="FFFFFF"/>
              </w:rPr>
              <w:t xml:space="preserve"> ПДВ</w:t>
            </w:r>
          </w:p>
        </w:tc>
      </w:tr>
      <w:tr w:rsidR="00FF4003" w:rsidTr="00FF4003">
        <w:trPr>
          <w:trHeight w:val="612"/>
        </w:trPr>
        <w:tc>
          <w:tcPr>
            <w:tcW w:w="536" w:type="dxa"/>
            <w:tcBorders>
              <w:top w:val="single" w:sz="6" w:space="0" w:color="000000"/>
              <w:left w:val="single" w:sz="6" w:space="0" w:color="000000"/>
              <w:bottom w:val="single" w:sz="6" w:space="0" w:color="000000"/>
              <w:right w:val="nil"/>
            </w:tcBorders>
            <w:vAlign w:val="center"/>
            <w:hideMark/>
          </w:tcPr>
          <w:p w:rsidR="00FF4003" w:rsidRDefault="00FF4003">
            <w:pPr>
              <w:pStyle w:val="a6"/>
              <w:jc w:val="center"/>
            </w:pPr>
            <w:r>
              <w:rPr>
                <w:rFonts w:ascii="Times New Roman" w:hAnsi="Times New Roman" w:cs="Times New Roman"/>
                <w:sz w:val="24"/>
                <w:szCs w:val="24"/>
              </w:rPr>
              <w:t>1</w:t>
            </w:r>
          </w:p>
        </w:tc>
        <w:tc>
          <w:tcPr>
            <w:tcW w:w="3682" w:type="dxa"/>
            <w:tcBorders>
              <w:top w:val="single" w:sz="6" w:space="0" w:color="000000"/>
              <w:left w:val="single" w:sz="6" w:space="0" w:color="000000"/>
              <w:bottom w:val="single" w:sz="6" w:space="0" w:color="000000"/>
              <w:right w:val="nil"/>
            </w:tcBorders>
            <w:vAlign w:val="center"/>
            <w:hideMark/>
          </w:tcPr>
          <w:p w:rsidR="00FF4003" w:rsidRDefault="00FF4003">
            <w:pPr>
              <w:pStyle w:val="a6"/>
            </w:pPr>
            <w:r>
              <w:rPr>
                <w:rFonts w:ascii="Times New Roman" w:hAnsi="Times New Roman" w:cs="Times New Roman"/>
                <w:spacing w:val="-3"/>
                <w:sz w:val="24"/>
                <w:szCs w:val="24"/>
              </w:rPr>
              <w:t>Торф (</w:t>
            </w:r>
            <w:proofErr w:type="spellStart"/>
            <w:r>
              <w:rPr>
                <w:rFonts w:ascii="Times New Roman" w:hAnsi="Times New Roman" w:cs="Times New Roman"/>
                <w:spacing w:val="-3"/>
                <w:sz w:val="24"/>
                <w:szCs w:val="24"/>
              </w:rPr>
              <w:t>напівбрикети</w:t>
            </w:r>
            <w:proofErr w:type="spellEnd"/>
            <w:r>
              <w:rPr>
                <w:rFonts w:ascii="Times New Roman" w:hAnsi="Times New Roman" w:cs="Times New Roman"/>
                <w:spacing w:val="-3"/>
                <w:sz w:val="24"/>
                <w:szCs w:val="24"/>
              </w:rPr>
              <w:t xml:space="preserve"> торф’яні)</w:t>
            </w:r>
          </w:p>
        </w:tc>
        <w:tc>
          <w:tcPr>
            <w:tcW w:w="1097" w:type="dxa"/>
            <w:tcBorders>
              <w:top w:val="single" w:sz="4" w:space="0" w:color="000000"/>
              <w:left w:val="single" w:sz="4" w:space="0" w:color="000000"/>
              <w:bottom w:val="single" w:sz="6" w:space="0" w:color="000000"/>
              <w:right w:val="nil"/>
            </w:tcBorders>
            <w:vAlign w:val="center"/>
            <w:hideMark/>
          </w:tcPr>
          <w:p w:rsidR="00FF4003" w:rsidRDefault="00FF4003">
            <w:pPr>
              <w:pStyle w:val="a6"/>
              <w:jc w:val="center"/>
            </w:pPr>
            <w:r>
              <w:rPr>
                <w:rFonts w:ascii="Times New Roman" w:hAnsi="Times New Roman" w:cs="Times New Roman"/>
                <w:sz w:val="24"/>
                <w:szCs w:val="24"/>
              </w:rPr>
              <w:t>т</w:t>
            </w:r>
          </w:p>
        </w:tc>
        <w:tc>
          <w:tcPr>
            <w:tcW w:w="820" w:type="dxa"/>
            <w:tcBorders>
              <w:top w:val="single" w:sz="4" w:space="0" w:color="000000"/>
              <w:left w:val="single" w:sz="4" w:space="0" w:color="000000"/>
              <w:bottom w:val="single" w:sz="6" w:space="0" w:color="000000"/>
              <w:right w:val="nil"/>
            </w:tcBorders>
            <w:vAlign w:val="center"/>
          </w:tcPr>
          <w:p w:rsidR="00FF4003" w:rsidRDefault="00FF4003">
            <w:pPr>
              <w:pStyle w:val="a6"/>
              <w:snapToGrid w:val="0"/>
              <w:jc w:val="center"/>
              <w:rPr>
                <w:rFonts w:ascii="Times New Roman" w:hAnsi="Times New Roman" w:cs="Times New Roman"/>
                <w:sz w:val="24"/>
                <w:szCs w:val="24"/>
              </w:rPr>
            </w:pPr>
          </w:p>
        </w:tc>
        <w:tc>
          <w:tcPr>
            <w:tcW w:w="1515" w:type="dxa"/>
            <w:tcBorders>
              <w:top w:val="single" w:sz="4" w:space="0" w:color="000000"/>
              <w:left w:val="single" w:sz="4" w:space="0" w:color="000000"/>
              <w:bottom w:val="single" w:sz="6" w:space="0" w:color="000000"/>
              <w:right w:val="nil"/>
            </w:tcBorders>
            <w:vAlign w:val="center"/>
          </w:tcPr>
          <w:p w:rsidR="00FF4003" w:rsidRDefault="00FF4003">
            <w:pPr>
              <w:pStyle w:val="a6"/>
              <w:snapToGrid w:val="0"/>
              <w:jc w:val="center"/>
              <w:rPr>
                <w:rFonts w:ascii="Times New Roman" w:hAnsi="Times New Roman" w:cs="Times New Roman"/>
                <w:sz w:val="24"/>
                <w:szCs w:val="24"/>
              </w:rPr>
            </w:pPr>
          </w:p>
        </w:tc>
        <w:tc>
          <w:tcPr>
            <w:tcW w:w="1790" w:type="dxa"/>
            <w:tcBorders>
              <w:top w:val="single" w:sz="4" w:space="0" w:color="000000"/>
              <w:left w:val="single" w:sz="4" w:space="0" w:color="000000"/>
              <w:bottom w:val="single" w:sz="4" w:space="0" w:color="000000"/>
              <w:right w:val="single" w:sz="4" w:space="0" w:color="000000"/>
            </w:tcBorders>
            <w:vAlign w:val="center"/>
          </w:tcPr>
          <w:p w:rsidR="00FF4003" w:rsidRDefault="00FF4003">
            <w:pPr>
              <w:pStyle w:val="a6"/>
              <w:snapToGrid w:val="0"/>
              <w:jc w:val="center"/>
              <w:rPr>
                <w:rFonts w:ascii="Times New Roman" w:hAnsi="Times New Roman" w:cs="Times New Roman"/>
                <w:sz w:val="24"/>
                <w:szCs w:val="24"/>
              </w:rPr>
            </w:pPr>
          </w:p>
        </w:tc>
      </w:tr>
      <w:tr w:rsidR="00FF4003" w:rsidTr="00FF4003">
        <w:trPr>
          <w:trHeight w:val="304"/>
        </w:trPr>
        <w:tc>
          <w:tcPr>
            <w:tcW w:w="7650" w:type="dxa"/>
            <w:gridSpan w:val="5"/>
            <w:tcBorders>
              <w:top w:val="single" w:sz="6" w:space="0" w:color="000000"/>
              <w:left w:val="single" w:sz="6" w:space="0" w:color="000000"/>
              <w:bottom w:val="single" w:sz="6" w:space="0" w:color="000000"/>
              <w:right w:val="nil"/>
            </w:tcBorders>
            <w:vAlign w:val="center"/>
            <w:hideMark/>
          </w:tcPr>
          <w:p w:rsidR="00FF4003" w:rsidRDefault="00FF4003">
            <w:pPr>
              <w:pStyle w:val="a6"/>
              <w:jc w:val="right"/>
            </w:pPr>
            <w:r>
              <w:rPr>
                <w:rFonts w:ascii="Times New Roman" w:hAnsi="Times New Roman" w:cs="Times New Roman"/>
                <w:sz w:val="24"/>
                <w:szCs w:val="24"/>
              </w:rPr>
              <w:t>Загальна вартість предмета закупівлі, грн. бе</w:t>
            </w:r>
            <w:r>
              <w:rPr>
                <w:rFonts w:ascii="Times New Roman" w:hAnsi="Times New Roman" w:cs="Times New Roman"/>
                <w:color w:val="222222"/>
                <w:sz w:val="24"/>
                <w:szCs w:val="24"/>
                <w:shd w:val="clear" w:color="auto" w:fill="FFFFFF"/>
              </w:rPr>
              <w:t>з  ПДВ</w:t>
            </w:r>
          </w:p>
        </w:tc>
        <w:tc>
          <w:tcPr>
            <w:tcW w:w="1790" w:type="dxa"/>
            <w:tcBorders>
              <w:top w:val="single" w:sz="4" w:space="0" w:color="000000"/>
              <w:left w:val="single" w:sz="4" w:space="0" w:color="000000"/>
              <w:bottom w:val="single" w:sz="6" w:space="0" w:color="000000"/>
              <w:right w:val="single" w:sz="4" w:space="0" w:color="000000"/>
            </w:tcBorders>
            <w:vAlign w:val="center"/>
          </w:tcPr>
          <w:p w:rsidR="00FF4003" w:rsidRDefault="00FF4003">
            <w:pPr>
              <w:pStyle w:val="a6"/>
              <w:snapToGrid w:val="0"/>
              <w:jc w:val="center"/>
              <w:rPr>
                <w:rFonts w:ascii="Times New Roman" w:hAnsi="Times New Roman" w:cs="Times New Roman"/>
                <w:color w:val="000000"/>
                <w:sz w:val="24"/>
                <w:szCs w:val="24"/>
              </w:rPr>
            </w:pPr>
          </w:p>
        </w:tc>
      </w:tr>
      <w:tr w:rsidR="00FF4003" w:rsidTr="00FF4003">
        <w:trPr>
          <w:trHeight w:val="304"/>
        </w:trPr>
        <w:tc>
          <w:tcPr>
            <w:tcW w:w="7650" w:type="dxa"/>
            <w:gridSpan w:val="5"/>
            <w:tcBorders>
              <w:top w:val="single" w:sz="6" w:space="0" w:color="000000"/>
              <w:left w:val="single" w:sz="6" w:space="0" w:color="000000"/>
              <w:bottom w:val="single" w:sz="6" w:space="0" w:color="000000"/>
              <w:right w:val="nil"/>
            </w:tcBorders>
            <w:vAlign w:val="center"/>
            <w:hideMark/>
          </w:tcPr>
          <w:p w:rsidR="00FF4003" w:rsidRDefault="00FF4003">
            <w:pPr>
              <w:pStyle w:val="a6"/>
              <w:jc w:val="right"/>
            </w:pPr>
            <w:r>
              <w:rPr>
                <w:rFonts w:ascii="Times New Roman" w:hAnsi="Times New Roman" w:cs="Times New Roman"/>
                <w:color w:val="000000"/>
                <w:sz w:val="24"/>
                <w:szCs w:val="24"/>
              </w:rPr>
              <w:t xml:space="preserve">ПДВ, грн. </w:t>
            </w:r>
          </w:p>
        </w:tc>
        <w:tc>
          <w:tcPr>
            <w:tcW w:w="1790" w:type="dxa"/>
            <w:tcBorders>
              <w:top w:val="single" w:sz="6" w:space="0" w:color="000000"/>
              <w:left w:val="single" w:sz="4" w:space="0" w:color="000000"/>
              <w:bottom w:val="single" w:sz="6" w:space="0" w:color="000000"/>
              <w:right w:val="single" w:sz="4" w:space="0" w:color="000000"/>
            </w:tcBorders>
            <w:vAlign w:val="center"/>
          </w:tcPr>
          <w:p w:rsidR="00FF4003" w:rsidRDefault="00FF4003">
            <w:pPr>
              <w:pStyle w:val="a6"/>
              <w:snapToGrid w:val="0"/>
              <w:jc w:val="center"/>
              <w:rPr>
                <w:rFonts w:ascii="Times New Roman" w:hAnsi="Times New Roman" w:cs="Times New Roman"/>
                <w:sz w:val="24"/>
                <w:szCs w:val="24"/>
              </w:rPr>
            </w:pPr>
          </w:p>
        </w:tc>
      </w:tr>
      <w:tr w:rsidR="00FF4003" w:rsidTr="00FF4003">
        <w:trPr>
          <w:trHeight w:val="183"/>
        </w:trPr>
        <w:tc>
          <w:tcPr>
            <w:tcW w:w="7650" w:type="dxa"/>
            <w:gridSpan w:val="5"/>
            <w:tcBorders>
              <w:top w:val="single" w:sz="6" w:space="0" w:color="000000"/>
              <w:left w:val="single" w:sz="6" w:space="0" w:color="000000"/>
              <w:bottom w:val="single" w:sz="6" w:space="0" w:color="000000"/>
              <w:right w:val="nil"/>
            </w:tcBorders>
            <w:vAlign w:val="center"/>
            <w:hideMark/>
          </w:tcPr>
          <w:p w:rsidR="00FF4003" w:rsidRDefault="00FF4003">
            <w:pPr>
              <w:pStyle w:val="a6"/>
              <w:jc w:val="right"/>
            </w:pPr>
            <w:r>
              <w:rPr>
                <w:rFonts w:ascii="Times New Roman" w:hAnsi="Times New Roman" w:cs="Times New Roman"/>
                <w:sz w:val="24"/>
                <w:szCs w:val="24"/>
              </w:rPr>
              <w:t>Загальна вартість предмета закупівлі</w:t>
            </w:r>
            <w:r>
              <w:rPr>
                <w:rFonts w:ascii="Times New Roman" w:hAnsi="Times New Roman" w:cs="Times New Roman"/>
                <w:color w:val="000000"/>
                <w:sz w:val="24"/>
                <w:szCs w:val="24"/>
              </w:rPr>
              <w:t xml:space="preserve">, грн. </w:t>
            </w:r>
            <w:r>
              <w:rPr>
                <w:rFonts w:ascii="Times New Roman" w:hAnsi="Times New Roman" w:cs="Times New Roman"/>
                <w:color w:val="222222"/>
                <w:sz w:val="24"/>
                <w:szCs w:val="24"/>
                <w:shd w:val="clear" w:color="auto" w:fill="FFFFFF"/>
              </w:rPr>
              <w:t>з/без ПДВ</w:t>
            </w:r>
          </w:p>
        </w:tc>
        <w:tc>
          <w:tcPr>
            <w:tcW w:w="1790" w:type="dxa"/>
            <w:tcBorders>
              <w:top w:val="single" w:sz="6" w:space="0" w:color="000000"/>
              <w:left w:val="single" w:sz="4" w:space="0" w:color="000000"/>
              <w:bottom w:val="single" w:sz="6" w:space="0" w:color="000000"/>
              <w:right w:val="single" w:sz="4" w:space="0" w:color="000000"/>
            </w:tcBorders>
            <w:vAlign w:val="center"/>
          </w:tcPr>
          <w:p w:rsidR="00FF4003" w:rsidRDefault="00FF4003">
            <w:pPr>
              <w:pStyle w:val="a6"/>
              <w:snapToGrid w:val="0"/>
              <w:jc w:val="center"/>
              <w:rPr>
                <w:rFonts w:ascii="Times New Roman" w:hAnsi="Times New Roman" w:cs="Times New Roman"/>
                <w:sz w:val="24"/>
                <w:szCs w:val="24"/>
              </w:rPr>
            </w:pPr>
          </w:p>
        </w:tc>
      </w:tr>
    </w:tbl>
    <w:p w:rsidR="00FF4003" w:rsidRDefault="00FF4003" w:rsidP="00FF4003">
      <w:pPr>
        <w:ind w:firstLine="708"/>
        <w:jc w:val="both"/>
        <w:rPr>
          <w:sz w:val="28"/>
          <w:szCs w:val="28"/>
          <w:shd w:val="clear" w:color="auto" w:fill="FFFFFF"/>
        </w:rPr>
      </w:pPr>
    </w:p>
    <w:p w:rsidR="00FF4003" w:rsidRDefault="00FF4003" w:rsidP="00FF4003">
      <w:pPr>
        <w:tabs>
          <w:tab w:val="left" w:pos="540"/>
        </w:tabs>
        <w:jc w:val="both"/>
      </w:pPr>
      <w:r>
        <w:rPr>
          <w:sz w:val="28"/>
          <w:szCs w:val="28"/>
          <w:lang w:eastAsia="ru-RU"/>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F4003" w:rsidRDefault="00FF4003" w:rsidP="00FF4003">
      <w:pPr>
        <w:tabs>
          <w:tab w:val="left" w:pos="540"/>
        </w:tabs>
        <w:ind w:firstLine="567"/>
        <w:jc w:val="both"/>
      </w:pPr>
      <w:r>
        <w:rPr>
          <w:sz w:val="28"/>
          <w:szCs w:val="28"/>
          <w:lang w:eastAsia="ru-RU"/>
        </w:rPr>
        <w:t xml:space="preserve">2. Ми погоджуємося дотримуватися умов цієї пропозиції протягом                                   90 календарних днів з дня розкриття пропозицій. </w:t>
      </w:r>
    </w:p>
    <w:p w:rsidR="00FF4003" w:rsidRDefault="00FF4003" w:rsidP="00FF4003">
      <w:pPr>
        <w:widowControl w:val="0"/>
        <w:tabs>
          <w:tab w:val="left" w:pos="540"/>
        </w:tabs>
        <w:autoSpaceDE w:val="0"/>
        <w:ind w:firstLine="567"/>
        <w:jc w:val="both"/>
      </w:pPr>
      <w:r>
        <w:rPr>
          <w:sz w:val="28"/>
          <w:szCs w:val="28"/>
        </w:rPr>
        <w:t xml:space="preserve">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  </w:t>
      </w:r>
    </w:p>
    <w:p w:rsidR="00FF4003" w:rsidRDefault="00FF4003" w:rsidP="00FF4003">
      <w:pPr>
        <w:widowControl w:val="0"/>
        <w:tabs>
          <w:tab w:val="left" w:pos="540"/>
        </w:tabs>
        <w:autoSpaceDE w:val="0"/>
        <w:ind w:firstLine="567"/>
        <w:jc w:val="both"/>
      </w:pPr>
      <w:r>
        <w:rPr>
          <w:sz w:val="28"/>
          <w:szCs w:val="28"/>
        </w:rPr>
        <w:t xml:space="preserve">4. Ми розуміємо та погоджуємося, що Ви можете відмінити спрощену закупівлю у разі наявності обставин для цього згідно із Законом. </w:t>
      </w:r>
    </w:p>
    <w:p w:rsidR="00FF4003" w:rsidRDefault="00FF4003" w:rsidP="00FF4003">
      <w:pPr>
        <w:widowControl w:val="0"/>
        <w:tabs>
          <w:tab w:val="left" w:pos="540"/>
        </w:tabs>
        <w:autoSpaceDE w:val="0"/>
        <w:ind w:firstLine="567"/>
        <w:jc w:val="both"/>
      </w:pPr>
      <w:r>
        <w:rPr>
          <w:sz w:val="28"/>
          <w:szCs w:val="28"/>
        </w:rPr>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FF4003" w:rsidRDefault="00FF4003" w:rsidP="00FF4003">
      <w:pPr>
        <w:widowControl w:val="0"/>
        <w:tabs>
          <w:tab w:val="left" w:pos="540"/>
        </w:tabs>
        <w:autoSpaceDE w:val="0"/>
        <w:ind w:firstLine="567"/>
        <w:jc w:val="both"/>
      </w:pPr>
      <w:r>
        <w:rPr>
          <w:sz w:val="28"/>
          <w:szCs w:val="28"/>
        </w:rPr>
        <w:t xml:space="preserve">6. Зазначеним нижче підписом ми підтверджуємо повну, безумовну і беззаперечну згоду з усіма умовами проведення закупівлі, визначеними в оголошенні (додатках до оголошення). </w:t>
      </w:r>
    </w:p>
    <w:p w:rsidR="00FF4003" w:rsidRDefault="00FF4003" w:rsidP="00FF4003">
      <w:pPr>
        <w:tabs>
          <w:tab w:val="left" w:pos="540"/>
        </w:tabs>
        <w:jc w:val="both"/>
      </w:pPr>
      <w:r>
        <w:rPr>
          <w:b/>
          <w:sz w:val="28"/>
          <w:szCs w:val="28"/>
          <w:lang w:eastAsia="ar-SA"/>
        </w:rPr>
        <w:tab/>
      </w:r>
    </w:p>
    <w:p w:rsidR="00FF4003" w:rsidRDefault="00FF4003" w:rsidP="00FF4003">
      <w:pPr>
        <w:widowControl w:val="0"/>
        <w:autoSpaceDE w:val="0"/>
        <w:ind w:firstLine="567"/>
        <w:jc w:val="both"/>
      </w:pPr>
      <w:r>
        <w:rPr>
          <w:b/>
          <w:i/>
          <w:sz w:val="22"/>
          <w:szCs w:val="22"/>
        </w:rPr>
        <w:t>Посада, прізвище, ініціали, підпис уповноваженої особи Учасника, завірені печаткою.</w:t>
      </w:r>
      <w:r>
        <w:rPr>
          <w:b/>
          <w:i/>
          <w:sz w:val="28"/>
          <w:szCs w:val="28"/>
        </w:rPr>
        <w:t xml:space="preserve"> </w:t>
      </w:r>
      <w:r>
        <w:rPr>
          <w:b/>
          <w:sz w:val="28"/>
          <w:szCs w:val="28"/>
        </w:rPr>
        <w:t>_________________________________________________________</w:t>
      </w:r>
    </w:p>
    <w:p w:rsidR="00FF4003" w:rsidRDefault="00FF4003" w:rsidP="00FF4003">
      <w:pPr>
        <w:keepLines/>
        <w:pageBreakBefore/>
        <w:autoSpaceDE w:val="0"/>
        <w:jc w:val="right"/>
      </w:pPr>
      <w:bookmarkStart w:id="1" w:name="_Hlk44401973"/>
      <w:bookmarkEnd w:id="0"/>
      <w:r>
        <w:rPr>
          <w:b/>
          <w:spacing w:val="-3"/>
          <w:sz w:val="20"/>
          <w:szCs w:val="20"/>
        </w:rPr>
        <w:lastRenderedPageBreak/>
        <w:t>Додаток 2 до оголошення</w:t>
      </w:r>
    </w:p>
    <w:p w:rsidR="00FF4003" w:rsidRDefault="00FF4003" w:rsidP="00FF4003">
      <w:pPr>
        <w:jc w:val="center"/>
        <w:rPr>
          <w:b/>
          <w:bCs/>
          <w:spacing w:val="-3"/>
          <w:sz w:val="28"/>
          <w:szCs w:val="28"/>
        </w:rPr>
      </w:pPr>
      <w:bookmarkStart w:id="2" w:name="_Hlk44401984"/>
      <w:bookmarkEnd w:id="1"/>
    </w:p>
    <w:bookmarkEnd w:id="2"/>
    <w:p w:rsidR="00FF4003" w:rsidRDefault="00FF4003" w:rsidP="00FF4003">
      <w:pPr>
        <w:jc w:val="center"/>
      </w:pPr>
      <w:r>
        <w:rPr>
          <w:b/>
        </w:rPr>
        <w:t xml:space="preserve">ТЕХНІЧНА СПЕЦИФІКАЦІЯ </w:t>
      </w:r>
    </w:p>
    <w:p w:rsidR="00FF4003" w:rsidRDefault="00FF4003" w:rsidP="00FF4003">
      <w:pPr>
        <w:jc w:val="center"/>
      </w:pPr>
      <w:r>
        <w:rPr>
          <w:b/>
        </w:rPr>
        <w:t>Торф (</w:t>
      </w:r>
      <w:proofErr w:type="spellStart"/>
      <w:r>
        <w:rPr>
          <w:b/>
        </w:rPr>
        <w:t>напівбрикети</w:t>
      </w:r>
      <w:proofErr w:type="spellEnd"/>
      <w:r>
        <w:rPr>
          <w:b/>
        </w:rPr>
        <w:t xml:space="preserve"> торф’яні) для закладів та установ освіти, код ДК 021:2015 – 09110000-3  «Тверде паливо»</w:t>
      </w:r>
      <w:r>
        <w:rPr>
          <w:color w:val="FF0000"/>
          <w:spacing w:val="7"/>
        </w:rPr>
        <w:t xml:space="preserve"> </w:t>
      </w:r>
    </w:p>
    <w:p w:rsidR="00FF4003" w:rsidRDefault="00FF4003" w:rsidP="00FF4003">
      <w:pPr>
        <w:jc w:val="both"/>
      </w:pPr>
      <w:r>
        <w:rPr>
          <w:color w:val="FF0000"/>
          <w:spacing w:val="7"/>
        </w:rPr>
        <w:t xml:space="preserve">          </w:t>
      </w:r>
      <w:r>
        <w:rPr>
          <w:spacing w:val="7"/>
        </w:rPr>
        <w:t>У разі, якщо дана Технічна специфікація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FF4003" w:rsidRDefault="00FF4003" w:rsidP="00FF4003">
      <w:r>
        <w:rPr>
          <w:b/>
        </w:rPr>
        <w:t>Торф (</w:t>
      </w:r>
      <w:proofErr w:type="spellStart"/>
      <w:r>
        <w:rPr>
          <w:b/>
        </w:rPr>
        <w:t>напівбрикети</w:t>
      </w:r>
      <w:proofErr w:type="spellEnd"/>
      <w:r>
        <w:rPr>
          <w:b/>
        </w:rPr>
        <w:t xml:space="preserve"> торф’яні)</w:t>
      </w:r>
      <w:r w:rsidR="00EA306D">
        <w:rPr>
          <w:b/>
          <w:color w:val="000000"/>
        </w:rPr>
        <w:t xml:space="preserve">  -    </w:t>
      </w:r>
      <w:bookmarkStart w:id="3" w:name="_GoBack"/>
      <w:bookmarkEnd w:id="3"/>
      <w:r>
        <w:rPr>
          <w:b/>
          <w:bCs/>
        </w:rPr>
        <w:t xml:space="preserve"> </w:t>
      </w:r>
      <w:proofErr w:type="spellStart"/>
      <w:r>
        <w:rPr>
          <w:b/>
          <w:bCs/>
        </w:rPr>
        <w:t>тонн</w:t>
      </w:r>
      <w:proofErr w:type="spellEnd"/>
    </w:p>
    <w:p w:rsidR="00FF4003" w:rsidRDefault="00FF4003" w:rsidP="00FF4003">
      <w:pPr>
        <w:jc w:val="both"/>
      </w:pPr>
      <w:r>
        <w:rPr>
          <w:b/>
          <w:bCs/>
          <w:color w:val="000000"/>
          <w:u w:val="single"/>
        </w:rPr>
        <w:t xml:space="preserve"> 1.  Технічні, якісні характеристики</w:t>
      </w:r>
      <w:r>
        <w:rPr>
          <w:b/>
          <w:bCs/>
          <w:u w:val="single"/>
        </w:rPr>
        <w:t>:</w:t>
      </w:r>
    </w:p>
    <w:p w:rsidR="00FF4003" w:rsidRDefault="00FF4003" w:rsidP="00FF4003">
      <w:pPr>
        <w:jc w:val="both"/>
      </w:pPr>
      <w:r>
        <w:t>2. Вимоги щодо якості продукції:</w:t>
      </w:r>
    </w:p>
    <w:tbl>
      <w:tblPr>
        <w:tblW w:w="0" w:type="auto"/>
        <w:tblInd w:w="-5" w:type="dxa"/>
        <w:tblLayout w:type="fixed"/>
        <w:tblLook w:val="04A0" w:firstRow="1" w:lastRow="0" w:firstColumn="1" w:lastColumn="0" w:noHBand="0" w:noVBand="1"/>
      </w:tblPr>
      <w:tblGrid>
        <w:gridCol w:w="1184"/>
        <w:gridCol w:w="918"/>
        <w:gridCol w:w="933"/>
        <w:gridCol w:w="1066"/>
        <w:gridCol w:w="1066"/>
        <w:gridCol w:w="1200"/>
        <w:gridCol w:w="933"/>
        <w:gridCol w:w="933"/>
        <w:gridCol w:w="1089"/>
        <w:gridCol w:w="1099"/>
      </w:tblGrid>
      <w:tr w:rsidR="00FF4003" w:rsidTr="00FF4003">
        <w:trPr>
          <w:trHeight w:val="1255"/>
        </w:trPr>
        <w:tc>
          <w:tcPr>
            <w:tcW w:w="1184" w:type="dxa"/>
            <w:tcBorders>
              <w:top w:val="single" w:sz="4" w:space="0" w:color="000000"/>
              <w:left w:val="single" w:sz="4" w:space="0" w:color="000000"/>
              <w:bottom w:val="single" w:sz="4" w:space="0" w:color="000000"/>
              <w:right w:val="nil"/>
            </w:tcBorders>
            <w:hideMark/>
          </w:tcPr>
          <w:p w:rsidR="00FF4003" w:rsidRDefault="00FF4003">
            <w:pPr>
              <w:ind w:right="-108"/>
              <w:jc w:val="center"/>
            </w:pPr>
            <w:r>
              <w:rPr>
                <w:b/>
                <w:bCs/>
                <w:color w:val="000000"/>
              </w:rPr>
              <w:t>Найменування товару</w:t>
            </w:r>
          </w:p>
        </w:tc>
        <w:tc>
          <w:tcPr>
            <w:tcW w:w="918" w:type="dxa"/>
            <w:tcBorders>
              <w:top w:val="single" w:sz="4" w:space="0" w:color="000000"/>
              <w:left w:val="single" w:sz="4" w:space="0" w:color="000000"/>
              <w:bottom w:val="single" w:sz="4" w:space="0" w:color="000000"/>
              <w:right w:val="nil"/>
            </w:tcBorders>
            <w:hideMark/>
          </w:tcPr>
          <w:p w:rsidR="00FF4003" w:rsidRDefault="00FF4003">
            <w:pPr>
              <w:ind w:left="-63" w:right="-108"/>
              <w:jc w:val="center"/>
            </w:pPr>
            <w:r>
              <w:rPr>
                <w:b/>
                <w:bCs/>
                <w:color w:val="000000"/>
              </w:rPr>
              <w:t xml:space="preserve">Довжина </w:t>
            </w:r>
          </w:p>
          <w:p w:rsidR="00FF4003" w:rsidRDefault="00FF4003">
            <w:pPr>
              <w:ind w:left="-63" w:right="-108"/>
              <w:jc w:val="center"/>
            </w:pPr>
            <w:r>
              <w:rPr>
                <w:b/>
                <w:bCs/>
                <w:color w:val="000000"/>
              </w:rPr>
              <w:t>мм</w:t>
            </w:r>
          </w:p>
        </w:tc>
        <w:tc>
          <w:tcPr>
            <w:tcW w:w="933" w:type="dxa"/>
            <w:tcBorders>
              <w:top w:val="single" w:sz="4" w:space="0" w:color="000000"/>
              <w:left w:val="single" w:sz="4" w:space="0" w:color="000000"/>
              <w:bottom w:val="single" w:sz="4" w:space="0" w:color="000000"/>
              <w:right w:val="nil"/>
            </w:tcBorders>
            <w:hideMark/>
          </w:tcPr>
          <w:p w:rsidR="00FF4003" w:rsidRDefault="00FF4003">
            <w:pPr>
              <w:ind w:left="-108" w:right="-108"/>
              <w:jc w:val="center"/>
            </w:pPr>
            <w:r>
              <w:rPr>
                <w:b/>
                <w:bCs/>
                <w:color w:val="000000"/>
              </w:rPr>
              <w:t xml:space="preserve">Ширина, </w:t>
            </w:r>
          </w:p>
          <w:p w:rsidR="00FF4003" w:rsidRDefault="00FF4003">
            <w:pPr>
              <w:ind w:left="-108" w:right="-108"/>
              <w:jc w:val="center"/>
            </w:pPr>
            <w:r>
              <w:rPr>
                <w:b/>
                <w:bCs/>
                <w:color w:val="000000"/>
              </w:rPr>
              <w:t>Мм</w:t>
            </w:r>
          </w:p>
        </w:tc>
        <w:tc>
          <w:tcPr>
            <w:tcW w:w="1066" w:type="dxa"/>
            <w:tcBorders>
              <w:top w:val="single" w:sz="4" w:space="0" w:color="000000"/>
              <w:left w:val="single" w:sz="4" w:space="0" w:color="000000"/>
              <w:bottom w:val="single" w:sz="4" w:space="0" w:color="000000"/>
              <w:right w:val="nil"/>
            </w:tcBorders>
            <w:hideMark/>
          </w:tcPr>
          <w:p w:rsidR="00FF4003" w:rsidRDefault="00FF4003">
            <w:pPr>
              <w:ind w:right="-108"/>
              <w:jc w:val="center"/>
            </w:pPr>
            <w:r>
              <w:rPr>
                <w:b/>
                <w:bCs/>
                <w:color w:val="000000"/>
              </w:rPr>
              <w:t xml:space="preserve">Висота, </w:t>
            </w:r>
          </w:p>
          <w:p w:rsidR="00FF4003" w:rsidRDefault="00FF4003">
            <w:pPr>
              <w:jc w:val="center"/>
            </w:pPr>
            <w:r>
              <w:rPr>
                <w:b/>
                <w:bCs/>
                <w:color w:val="000000"/>
              </w:rPr>
              <w:t>мм</w:t>
            </w:r>
          </w:p>
        </w:tc>
        <w:tc>
          <w:tcPr>
            <w:tcW w:w="1066" w:type="dxa"/>
            <w:tcBorders>
              <w:top w:val="single" w:sz="4" w:space="0" w:color="000000"/>
              <w:left w:val="single" w:sz="4" w:space="0" w:color="000000"/>
              <w:bottom w:val="single" w:sz="4" w:space="0" w:color="000000"/>
              <w:right w:val="nil"/>
            </w:tcBorders>
            <w:hideMark/>
          </w:tcPr>
          <w:p w:rsidR="00FF4003" w:rsidRDefault="00FF4003">
            <w:pPr>
              <w:ind w:left="-108" w:right="-108"/>
              <w:jc w:val="center"/>
            </w:pPr>
            <w:r>
              <w:rPr>
                <w:b/>
                <w:bCs/>
                <w:color w:val="000000"/>
              </w:rPr>
              <w:t xml:space="preserve">Зольність, </w:t>
            </w:r>
          </w:p>
          <w:p w:rsidR="00FF4003" w:rsidRDefault="00FF4003">
            <w:pPr>
              <w:ind w:left="-108" w:right="-108"/>
              <w:jc w:val="center"/>
            </w:pPr>
            <w:r>
              <w:rPr>
                <w:b/>
                <w:bCs/>
                <w:color w:val="000000"/>
              </w:rPr>
              <w:t>%</w:t>
            </w:r>
            <w:r>
              <w:rPr>
                <w:b/>
                <w:bCs/>
                <w:color w:val="000000"/>
              </w:rPr>
              <w:br/>
            </w:r>
          </w:p>
        </w:tc>
        <w:tc>
          <w:tcPr>
            <w:tcW w:w="1200" w:type="dxa"/>
            <w:tcBorders>
              <w:top w:val="single" w:sz="4" w:space="0" w:color="000000"/>
              <w:left w:val="single" w:sz="4" w:space="0" w:color="000000"/>
              <w:bottom w:val="single" w:sz="4" w:space="0" w:color="000000"/>
              <w:right w:val="nil"/>
            </w:tcBorders>
            <w:hideMark/>
          </w:tcPr>
          <w:p w:rsidR="00FF4003" w:rsidRDefault="00FF4003">
            <w:pPr>
              <w:ind w:right="-108"/>
              <w:jc w:val="center"/>
            </w:pPr>
            <w:r>
              <w:rPr>
                <w:b/>
                <w:bCs/>
              </w:rPr>
              <w:t xml:space="preserve">Вологість, </w:t>
            </w:r>
          </w:p>
          <w:p w:rsidR="00FF4003" w:rsidRDefault="00FF4003">
            <w:pPr>
              <w:ind w:right="-108"/>
              <w:jc w:val="center"/>
            </w:pPr>
            <w:r>
              <w:rPr>
                <w:b/>
                <w:bCs/>
              </w:rPr>
              <w:t>%</w:t>
            </w:r>
          </w:p>
        </w:tc>
        <w:tc>
          <w:tcPr>
            <w:tcW w:w="933" w:type="dxa"/>
            <w:tcBorders>
              <w:top w:val="single" w:sz="4" w:space="0" w:color="000000"/>
              <w:left w:val="single" w:sz="4" w:space="0" w:color="000000"/>
              <w:bottom w:val="single" w:sz="4" w:space="0" w:color="000000"/>
              <w:right w:val="nil"/>
            </w:tcBorders>
            <w:hideMark/>
          </w:tcPr>
          <w:p w:rsidR="00FF4003" w:rsidRDefault="00FF4003">
            <w:pPr>
              <w:tabs>
                <w:tab w:val="left" w:pos="1764"/>
              </w:tabs>
              <w:ind w:right="-53"/>
              <w:jc w:val="center"/>
            </w:pPr>
            <w:r>
              <w:rPr>
                <w:b/>
                <w:bCs/>
              </w:rPr>
              <w:t>Вміст</w:t>
            </w:r>
          </w:p>
          <w:p w:rsidR="00FF4003" w:rsidRDefault="00FF4003">
            <w:pPr>
              <w:tabs>
                <w:tab w:val="left" w:pos="1764"/>
              </w:tabs>
              <w:ind w:right="-53"/>
              <w:jc w:val="center"/>
            </w:pPr>
            <w:r>
              <w:rPr>
                <w:b/>
                <w:bCs/>
              </w:rPr>
              <w:t>сірки,%</w:t>
            </w:r>
          </w:p>
        </w:tc>
        <w:tc>
          <w:tcPr>
            <w:tcW w:w="933" w:type="dxa"/>
            <w:tcBorders>
              <w:top w:val="single" w:sz="4" w:space="0" w:color="000000"/>
              <w:left w:val="single" w:sz="4" w:space="0" w:color="000000"/>
              <w:bottom w:val="single" w:sz="4" w:space="0" w:color="000000"/>
              <w:right w:val="nil"/>
            </w:tcBorders>
            <w:hideMark/>
          </w:tcPr>
          <w:p w:rsidR="00FF4003" w:rsidRDefault="00FF4003">
            <w:pPr>
              <w:tabs>
                <w:tab w:val="left" w:pos="1764"/>
              </w:tabs>
              <w:ind w:right="-53"/>
              <w:jc w:val="center"/>
            </w:pPr>
            <w:r>
              <w:rPr>
                <w:b/>
                <w:bCs/>
              </w:rPr>
              <w:t>Вміст летких речовин,%</w:t>
            </w:r>
          </w:p>
        </w:tc>
        <w:tc>
          <w:tcPr>
            <w:tcW w:w="1089" w:type="dxa"/>
            <w:tcBorders>
              <w:top w:val="single" w:sz="4" w:space="0" w:color="000000"/>
              <w:left w:val="single" w:sz="4" w:space="0" w:color="000000"/>
              <w:bottom w:val="single" w:sz="4" w:space="0" w:color="000000"/>
              <w:right w:val="nil"/>
            </w:tcBorders>
            <w:hideMark/>
          </w:tcPr>
          <w:p w:rsidR="00FF4003" w:rsidRDefault="00FF4003">
            <w:pPr>
              <w:tabs>
                <w:tab w:val="left" w:pos="1764"/>
              </w:tabs>
              <w:ind w:right="-53"/>
              <w:jc w:val="center"/>
            </w:pPr>
            <w:r>
              <w:rPr>
                <w:b/>
                <w:bCs/>
              </w:rPr>
              <w:t xml:space="preserve">Теплота згорання, не менше </w:t>
            </w:r>
            <w:r>
              <w:rPr>
                <w:b/>
                <w:bCs/>
                <w:lang w:val="ru-RU"/>
              </w:rPr>
              <w:t>М</w:t>
            </w:r>
            <w:proofErr w:type="spellStart"/>
            <w:r>
              <w:rPr>
                <w:b/>
                <w:bCs/>
              </w:rPr>
              <w:t>Дж</w:t>
            </w:r>
            <w:proofErr w:type="spellEnd"/>
            <w:r>
              <w:rPr>
                <w:b/>
                <w:bCs/>
              </w:rPr>
              <w:t>/кг</w:t>
            </w:r>
          </w:p>
        </w:tc>
        <w:tc>
          <w:tcPr>
            <w:tcW w:w="1099" w:type="dxa"/>
            <w:tcBorders>
              <w:top w:val="single" w:sz="4" w:space="0" w:color="000000"/>
              <w:left w:val="single" w:sz="4" w:space="0" w:color="000000"/>
              <w:bottom w:val="single" w:sz="4" w:space="0" w:color="000000"/>
              <w:right w:val="single" w:sz="4" w:space="0" w:color="000000"/>
            </w:tcBorders>
            <w:hideMark/>
          </w:tcPr>
          <w:p w:rsidR="00FF4003" w:rsidRDefault="00FF4003">
            <w:pPr>
              <w:tabs>
                <w:tab w:val="left" w:pos="1764"/>
              </w:tabs>
              <w:ind w:right="-53"/>
              <w:jc w:val="center"/>
            </w:pPr>
            <w:r>
              <w:rPr>
                <w:b/>
                <w:bCs/>
              </w:rPr>
              <w:t>Механічна міцність, %</w:t>
            </w:r>
          </w:p>
        </w:tc>
      </w:tr>
      <w:tr w:rsidR="00FF4003" w:rsidTr="00FF4003">
        <w:trPr>
          <w:trHeight w:val="597"/>
        </w:trPr>
        <w:tc>
          <w:tcPr>
            <w:tcW w:w="1184" w:type="dxa"/>
            <w:tcBorders>
              <w:top w:val="single" w:sz="4" w:space="0" w:color="000000"/>
              <w:left w:val="single" w:sz="4" w:space="0" w:color="000000"/>
              <w:bottom w:val="single" w:sz="4" w:space="0" w:color="000000"/>
              <w:right w:val="nil"/>
            </w:tcBorders>
            <w:vAlign w:val="center"/>
            <w:hideMark/>
          </w:tcPr>
          <w:p w:rsidR="00FF4003" w:rsidRDefault="00FF4003">
            <w:pPr>
              <w:ind w:left="-7" w:right="-85"/>
              <w:jc w:val="center"/>
            </w:pPr>
            <w:r>
              <w:rPr>
                <w:color w:val="000000"/>
              </w:rPr>
              <w:t>Торф (</w:t>
            </w:r>
            <w:proofErr w:type="spellStart"/>
            <w:r>
              <w:t>напівбрикети</w:t>
            </w:r>
            <w:proofErr w:type="spellEnd"/>
            <w:r>
              <w:t xml:space="preserve"> торф’яні)</w:t>
            </w:r>
          </w:p>
        </w:tc>
        <w:tc>
          <w:tcPr>
            <w:tcW w:w="918" w:type="dxa"/>
            <w:tcBorders>
              <w:top w:val="single" w:sz="4" w:space="0" w:color="000000"/>
              <w:left w:val="single" w:sz="4" w:space="0" w:color="000000"/>
              <w:bottom w:val="single" w:sz="4" w:space="0" w:color="000000"/>
              <w:right w:val="nil"/>
            </w:tcBorders>
            <w:vAlign w:val="center"/>
            <w:hideMark/>
          </w:tcPr>
          <w:p w:rsidR="00FF4003" w:rsidRDefault="00FF4003">
            <w:pPr>
              <w:jc w:val="center"/>
            </w:pPr>
            <w:r>
              <w:rPr>
                <w:color w:val="000000"/>
              </w:rPr>
              <w:t>80-200</w:t>
            </w:r>
          </w:p>
        </w:tc>
        <w:tc>
          <w:tcPr>
            <w:tcW w:w="933" w:type="dxa"/>
            <w:tcBorders>
              <w:top w:val="single" w:sz="4" w:space="0" w:color="000000"/>
              <w:left w:val="single" w:sz="4" w:space="0" w:color="000000"/>
              <w:bottom w:val="single" w:sz="4" w:space="0" w:color="000000"/>
              <w:right w:val="nil"/>
            </w:tcBorders>
            <w:vAlign w:val="center"/>
            <w:hideMark/>
          </w:tcPr>
          <w:p w:rsidR="00FF4003" w:rsidRDefault="00FF4003">
            <w:pPr>
              <w:jc w:val="center"/>
            </w:pPr>
            <w:r>
              <w:rPr>
                <w:color w:val="000000"/>
              </w:rPr>
              <w:t>40-75</w:t>
            </w:r>
          </w:p>
        </w:tc>
        <w:tc>
          <w:tcPr>
            <w:tcW w:w="1066" w:type="dxa"/>
            <w:tcBorders>
              <w:top w:val="single" w:sz="4" w:space="0" w:color="000000"/>
              <w:left w:val="single" w:sz="4" w:space="0" w:color="000000"/>
              <w:bottom w:val="single" w:sz="4" w:space="0" w:color="000000"/>
              <w:right w:val="nil"/>
            </w:tcBorders>
            <w:vAlign w:val="center"/>
            <w:hideMark/>
          </w:tcPr>
          <w:p w:rsidR="00FF4003" w:rsidRDefault="00FF4003">
            <w:pPr>
              <w:jc w:val="center"/>
            </w:pPr>
            <w:r>
              <w:rPr>
                <w:color w:val="000000"/>
              </w:rPr>
              <w:t>15-70</w:t>
            </w:r>
          </w:p>
        </w:tc>
        <w:tc>
          <w:tcPr>
            <w:tcW w:w="1066" w:type="dxa"/>
            <w:tcBorders>
              <w:top w:val="single" w:sz="4" w:space="0" w:color="000000"/>
              <w:left w:val="single" w:sz="4" w:space="0" w:color="000000"/>
              <w:bottom w:val="single" w:sz="4" w:space="0" w:color="000000"/>
              <w:right w:val="nil"/>
            </w:tcBorders>
            <w:vAlign w:val="center"/>
            <w:hideMark/>
          </w:tcPr>
          <w:p w:rsidR="00FF4003" w:rsidRDefault="00FF4003">
            <w:pPr>
              <w:jc w:val="center"/>
            </w:pPr>
            <w:r>
              <w:rPr>
                <w:color w:val="000000"/>
              </w:rPr>
              <w:t>до 2</w:t>
            </w:r>
            <w:r>
              <w:rPr>
                <w:color w:val="000000"/>
                <w:lang w:val="en-US"/>
              </w:rPr>
              <w:t>5</w:t>
            </w:r>
            <w:r>
              <w:rPr>
                <w:color w:val="000000"/>
              </w:rPr>
              <w:t>,0</w:t>
            </w:r>
          </w:p>
        </w:tc>
        <w:tc>
          <w:tcPr>
            <w:tcW w:w="1200" w:type="dxa"/>
            <w:tcBorders>
              <w:top w:val="single" w:sz="4" w:space="0" w:color="000000"/>
              <w:left w:val="single" w:sz="4" w:space="0" w:color="000000"/>
              <w:bottom w:val="single" w:sz="4" w:space="0" w:color="000000"/>
              <w:right w:val="nil"/>
            </w:tcBorders>
            <w:vAlign w:val="center"/>
            <w:hideMark/>
          </w:tcPr>
          <w:p w:rsidR="00FF4003" w:rsidRDefault="00FF4003">
            <w:pPr>
              <w:jc w:val="center"/>
            </w:pPr>
            <w:r>
              <w:rPr>
                <w:color w:val="000000"/>
              </w:rPr>
              <w:t>до 2</w:t>
            </w:r>
            <w:r>
              <w:rPr>
                <w:color w:val="000000"/>
                <w:lang w:val="en-US"/>
              </w:rPr>
              <w:t>5</w:t>
            </w:r>
            <w:r>
              <w:rPr>
                <w:color w:val="000000"/>
              </w:rPr>
              <w:t>,0</w:t>
            </w:r>
          </w:p>
        </w:tc>
        <w:tc>
          <w:tcPr>
            <w:tcW w:w="933" w:type="dxa"/>
            <w:tcBorders>
              <w:top w:val="single" w:sz="4" w:space="0" w:color="000000"/>
              <w:left w:val="single" w:sz="4" w:space="0" w:color="000000"/>
              <w:bottom w:val="single" w:sz="4" w:space="0" w:color="000000"/>
              <w:right w:val="nil"/>
            </w:tcBorders>
            <w:vAlign w:val="center"/>
            <w:hideMark/>
          </w:tcPr>
          <w:p w:rsidR="00FF4003" w:rsidRDefault="00FF4003">
            <w:pPr>
              <w:jc w:val="center"/>
            </w:pPr>
            <w:r>
              <w:rPr>
                <w:color w:val="000000"/>
                <w:lang w:val="ru-RU"/>
              </w:rPr>
              <w:t>до 0,4</w:t>
            </w:r>
          </w:p>
        </w:tc>
        <w:tc>
          <w:tcPr>
            <w:tcW w:w="933" w:type="dxa"/>
            <w:tcBorders>
              <w:top w:val="single" w:sz="4" w:space="0" w:color="000000"/>
              <w:left w:val="single" w:sz="4" w:space="0" w:color="000000"/>
              <w:bottom w:val="single" w:sz="4" w:space="0" w:color="000000"/>
              <w:right w:val="nil"/>
            </w:tcBorders>
            <w:vAlign w:val="center"/>
            <w:hideMark/>
          </w:tcPr>
          <w:p w:rsidR="00FF4003" w:rsidRDefault="00FF4003">
            <w:pPr>
              <w:jc w:val="center"/>
            </w:pPr>
            <w:r>
              <w:rPr>
                <w:color w:val="000000"/>
                <w:lang w:val="ru-RU"/>
              </w:rPr>
              <w:t>до 70</w:t>
            </w:r>
          </w:p>
        </w:tc>
        <w:tc>
          <w:tcPr>
            <w:tcW w:w="1089" w:type="dxa"/>
            <w:tcBorders>
              <w:top w:val="single" w:sz="4" w:space="0" w:color="000000"/>
              <w:left w:val="single" w:sz="4" w:space="0" w:color="000000"/>
              <w:bottom w:val="single" w:sz="4" w:space="0" w:color="000000"/>
              <w:right w:val="nil"/>
            </w:tcBorders>
            <w:vAlign w:val="center"/>
            <w:hideMark/>
          </w:tcPr>
          <w:p w:rsidR="00FF4003" w:rsidRDefault="00FF4003">
            <w:pPr>
              <w:jc w:val="center"/>
            </w:pPr>
            <w:r>
              <w:rPr>
                <w:color w:val="000000"/>
                <w:lang w:val="ru-RU"/>
              </w:rPr>
              <w:t>16</w:t>
            </w:r>
          </w:p>
        </w:tc>
        <w:tc>
          <w:tcPr>
            <w:tcW w:w="1099" w:type="dxa"/>
            <w:tcBorders>
              <w:top w:val="single" w:sz="4" w:space="0" w:color="000000"/>
              <w:left w:val="single" w:sz="4" w:space="0" w:color="000000"/>
              <w:bottom w:val="single" w:sz="4" w:space="0" w:color="000000"/>
              <w:right w:val="single" w:sz="4" w:space="0" w:color="000000"/>
            </w:tcBorders>
            <w:vAlign w:val="center"/>
          </w:tcPr>
          <w:p w:rsidR="00FF4003" w:rsidRDefault="00FF4003">
            <w:pPr>
              <w:jc w:val="center"/>
            </w:pPr>
            <w:r>
              <w:rPr>
                <w:color w:val="000000"/>
              </w:rPr>
              <w:t>не менше 9</w:t>
            </w:r>
            <w:r>
              <w:rPr>
                <w:color w:val="000000"/>
                <w:lang w:val="en-US"/>
              </w:rPr>
              <w:t>3</w:t>
            </w:r>
          </w:p>
          <w:p w:rsidR="00FF4003" w:rsidRDefault="00FF4003">
            <w:pPr>
              <w:jc w:val="center"/>
              <w:rPr>
                <w:color w:val="000000"/>
                <w:lang w:val="en-US"/>
              </w:rPr>
            </w:pPr>
          </w:p>
        </w:tc>
      </w:tr>
    </w:tbl>
    <w:p w:rsidR="00FF4003" w:rsidRDefault="00FF4003" w:rsidP="00FF4003">
      <w:pPr>
        <w:ind w:firstLine="708"/>
        <w:jc w:val="both"/>
      </w:pPr>
      <w:r>
        <w:t xml:space="preserve">Якість продукції, що постачається до закладів освіти, повинна відповідати зольності, вологості, механічній міцності, теплоті згорання, </w:t>
      </w:r>
      <w:proofErr w:type="spellStart"/>
      <w:r>
        <w:t>розмірам,вмісту</w:t>
      </w:r>
      <w:proofErr w:type="spellEnd"/>
      <w:r>
        <w:t xml:space="preserve"> сірки,</w:t>
      </w:r>
      <w:r>
        <w:rPr>
          <w:b/>
          <w:bCs/>
        </w:rPr>
        <w:t xml:space="preserve"> </w:t>
      </w:r>
      <w:r>
        <w:rPr>
          <w:bCs/>
        </w:rPr>
        <w:t>вмісту летких речовин,</w:t>
      </w:r>
      <w:r>
        <w:t xml:space="preserve"> що вказана, та повинна відповідати діючим </w:t>
      </w:r>
      <w:r>
        <w:rPr>
          <w:iCs/>
        </w:rPr>
        <w:t>РСТУРСР 1297-82</w:t>
      </w:r>
      <w:r>
        <w:t xml:space="preserve">., підтверджуватись копіями сертифікату/ паспортів якості та іншими документами, виданими акредитованими органами стандартизації і сертифікації.  </w:t>
      </w:r>
    </w:p>
    <w:p w:rsidR="00FF4003" w:rsidRDefault="00FF4003" w:rsidP="00FF4003">
      <w:pPr>
        <w:ind w:firstLine="708"/>
        <w:jc w:val="both"/>
      </w:pPr>
      <w:r>
        <w:t>До зазначених документів обов’язково додається</w:t>
      </w:r>
      <w:r>
        <w:rPr>
          <w:lang w:eastAsia="uk-UA"/>
        </w:rPr>
        <w:t xml:space="preserve"> копії дійсних атестату акредитації та сфери акредитації установи,  яка видала документ що підтверджує якісні та технічні показники на товар, завірені «мокрою» печаткою цієї установи.</w:t>
      </w:r>
      <w:r>
        <w:rPr>
          <w:b/>
          <w:lang w:eastAsia="uk-UA"/>
        </w:rPr>
        <w:t xml:space="preserve"> </w:t>
      </w:r>
    </w:p>
    <w:p w:rsidR="00FF4003" w:rsidRDefault="00FF4003" w:rsidP="00FF4003">
      <w:pPr>
        <w:ind w:firstLine="708"/>
        <w:jc w:val="both"/>
      </w:pPr>
      <w:r>
        <w:rPr>
          <w:bCs/>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FF4003" w:rsidRDefault="00FF4003" w:rsidP="00FF4003">
      <w:pPr>
        <w:tabs>
          <w:tab w:val="left" w:pos="0"/>
        </w:tabs>
        <w:ind w:left="108" w:right="118"/>
        <w:jc w:val="both"/>
      </w:pPr>
      <w:r>
        <w:rPr>
          <w:bCs/>
        </w:rPr>
        <w:tab/>
        <w:t xml:space="preserve">Учасником може бути запропоновано товар, що є еквівалентом зазначеному вище. В такому випадку цей товар за своїми </w:t>
      </w:r>
      <w:r>
        <w:t>технічними параметрами повинен відповідати показникам, що визначаються  установою уповноваженою по сертифікації торф’яної продукції ( або іншими акредитованими органами стандартизації і сертифікації) при видачі документів про якість на торф</w:t>
      </w:r>
      <w:r>
        <w:rPr>
          <w:lang w:val="ru-RU"/>
        </w:rPr>
        <w:t>’</w:t>
      </w:r>
      <w:proofErr w:type="spellStart"/>
      <w:r>
        <w:t>яну</w:t>
      </w:r>
      <w:proofErr w:type="spellEnd"/>
      <w:r>
        <w:t xml:space="preserve"> продукцію що передбачене замовником. Така відповідність </w:t>
      </w:r>
      <w:r>
        <w:rPr>
          <w:bCs/>
        </w:rPr>
        <w:t>(еквівалентність) повинна бути документально підтверджена уповноваженими підприємствами, установами, організаціями відповідно до їх компетенції.</w:t>
      </w:r>
    </w:p>
    <w:p w:rsidR="00FF4003" w:rsidRDefault="00FF4003" w:rsidP="00FF4003">
      <w:pPr>
        <w:ind w:firstLine="708"/>
        <w:jc w:val="both"/>
      </w:pPr>
      <w:r>
        <w:rPr>
          <w:lang w:eastAsia="ar-SA"/>
        </w:rPr>
        <w:t>У випадку, коли учасник не є виробником запропонованого товару, учасник має підтвердити наявність договірних відносин між учасником та виробником товару або з іншим суб’єктом господарювання (загальна кількість продукції за цим договором має бути не меншою за потребу Замовника оголошеною в даній закупівлі)</w:t>
      </w:r>
      <w:r>
        <w:rPr>
          <w:u w:val="single"/>
          <w:lang w:eastAsia="ar-SA"/>
        </w:rPr>
        <w:t>,</w:t>
      </w:r>
      <w:r>
        <w:rPr>
          <w:lang w:eastAsia="ar-SA"/>
        </w:rPr>
        <w:t xml:space="preserve"> що здійснює реалізацію та відвантаження товару учаснику:</w:t>
      </w:r>
    </w:p>
    <w:p w:rsidR="00FF4003" w:rsidRDefault="00FF4003" w:rsidP="00FF4003">
      <w:pPr>
        <w:jc w:val="both"/>
      </w:pPr>
      <w:r>
        <w:rPr>
          <w:lang w:eastAsia="ar-SA"/>
        </w:rPr>
        <w:t xml:space="preserve"> - У випадку наявності договірних відносин учасника з виробником товару, учасник має надати діючий Договір, що підтверджує договірні відносини між учасником та виробником товару </w:t>
      </w:r>
      <w:r>
        <w:rPr>
          <w:i/>
          <w:lang w:eastAsia="ar-SA"/>
        </w:rPr>
        <w:t>(подається у наступному вигляді: сканована копія або сканований оригінал)</w:t>
      </w:r>
      <w:r>
        <w:rPr>
          <w:lang w:eastAsia="ar-SA"/>
        </w:rPr>
        <w:t xml:space="preserve">. </w:t>
      </w:r>
    </w:p>
    <w:p w:rsidR="00FF4003" w:rsidRDefault="00FF4003" w:rsidP="00FF4003">
      <w:pPr>
        <w:jc w:val="both"/>
      </w:pPr>
      <w:r>
        <w:rPr>
          <w:lang w:eastAsia="ar-SA"/>
        </w:rPr>
        <w:t>- У випадку наявності договірних відносин між учасником та іншим суб’єктом господарювання, учасник має надати діючий Договір, що підтверджує договірні відносини між учасником та іншим суб’єктом господарювання (подається у наступному вигляді: сканована копія або сканований оригінал). Учасник має надати документ, що підтверджує наявність договірних відносин між таким суб’єктом господарювання та виробником на поставку товару, що є предметом закупівлі (подається у наступному вигляді: сканована копія або сканований оригінал).</w:t>
      </w:r>
    </w:p>
    <w:p w:rsidR="00FF4003" w:rsidRDefault="00FF4003" w:rsidP="00FF4003">
      <w:pPr>
        <w:tabs>
          <w:tab w:val="left" w:pos="0"/>
        </w:tabs>
        <w:jc w:val="both"/>
        <w:textAlignment w:val="baseline"/>
      </w:pPr>
      <w:r>
        <w:tab/>
        <w:t xml:space="preserve">Враховуючи, що Замовник не забезпечений зважувальним обладнанням, то відповідальність, передбачену договором та чинним законодавством, за достовірність та </w:t>
      </w:r>
      <w:r>
        <w:lastRenderedPageBreak/>
        <w:t>відповідність обсягів фактично поставленого товару обсягам, вказаним у супровідних документах,  несе  Постачальник.</w:t>
      </w:r>
    </w:p>
    <w:p w:rsidR="00FF4003" w:rsidRDefault="00FF4003" w:rsidP="00FF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Обов’язковим є наявність в учасника можливості забезпечити при поставці твердого палива зважування на території</w:t>
      </w:r>
      <w:r>
        <w:rPr>
          <w:rFonts w:eastAsia="Arial"/>
          <w:color w:val="000000"/>
        </w:rPr>
        <w:t xml:space="preserve"> Рівненської області</w:t>
      </w:r>
      <w:r>
        <w:t xml:space="preserve"> на  авто вагах з дійсною сертифікацією (повіркою)  (надаються копії документів, що засвідчують право власності учасника на встановлені ваги або копія договору про надання послуг по зважуванню та таруванню автомашин, </w:t>
      </w:r>
      <w:proofErr w:type="spellStart"/>
      <w:r>
        <w:t>ін</w:t>
      </w:r>
      <w:proofErr w:type="spellEnd"/>
      <w:r>
        <w:t xml:space="preserve">). </w:t>
      </w:r>
    </w:p>
    <w:p w:rsidR="00FF4003" w:rsidRDefault="00FF4003" w:rsidP="00FF4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До зазначених документів обов’язково додається копія документу, що засвідчує сертифікацію (повірку) ваг, дійсного на момент подання пропозицій учасником  та </w:t>
      </w:r>
      <w:r>
        <w:rPr>
          <w:rFonts w:eastAsia="Arial"/>
          <w:color w:val="000000"/>
        </w:rPr>
        <w:t>копія документа (технічний паспорт, свідоцтво про реєстрацію, тощо))  на ваги із зазначенням власника, яка буде задіяна учасником для виконання договору, завірені підписом та печаткою учасника</w:t>
      </w:r>
      <w:r>
        <w:t>).</w:t>
      </w:r>
    </w:p>
    <w:p w:rsidR="00FF4003" w:rsidRDefault="00FF4003" w:rsidP="00FF4003">
      <w:pPr>
        <w:widowControl w:val="0"/>
        <w:autoSpaceDE w:val="0"/>
        <w:snapToGrid w:val="0"/>
        <w:ind w:firstLine="567"/>
        <w:jc w:val="both"/>
      </w:pPr>
      <w:r>
        <w:rPr>
          <w:rFonts w:eastAsia="Arial"/>
          <w:iCs/>
          <w:color w:val="000000"/>
          <w:lang w:eastAsia="ru-RU"/>
        </w:rPr>
        <w:t>Доставка товару до замовника має здійснюватися  транспортом (типу «</w:t>
      </w:r>
      <w:proofErr w:type="spellStart"/>
      <w:r>
        <w:rPr>
          <w:rFonts w:eastAsia="Arial"/>
          <w:iCs/>
          <w:color w:val="000000"/>
          <w:lang w:eastAsia="ru-RU"/>
        </w:rPr>
        <w:t>Камаз</w:t>
      </w:r>
      <w:proofErr w:type="spellEnd"/>
      <w:r>
        <w:rPr>
          <w:rFonts w:eastAsia="Arial"/>
          <w:iCs/>
          <w:color w:val="000000"/>
          <w:lang w:eastAsia="ru-RU"/>
        </w:rPr>
        <w:t xml:space="preserve">», «МАЗ», ніяк не «автопоїзд» типу «фура») мається на увазі поставка самоскидом, вантажопідйомністю до 20 </w:t>
      </w:r>
      <w:proofErr w:type="spellStart"/>
      <w:r>
        <w:rPr>
          <w:rFonts w:eastAsia="Arial"/>
          <w:iCs/>
          <w:color w:val="000000"/>
          <w:lang w:eastAsia="ru-RU"/>
        </w:rPr>
        <w:t>тонн</w:t>
      </w:r>
      <w:proofErr w:type="spellEnd"/>
      <w:r>
        <w:rPr>
          <w:rFonts w:eastAsia="Arial"/>
          <w:iCs/>
          <w:color w:val="000000"/>
          <w:lang w:eastAsia="ru-RU"/>
        </w:rPr>
        <w:t xml:space="preserve"> у зв’язку з обмеженістю заїзду та розвантаженням. </w:t>
      </w:r>
    </w:p>
    <w:p w:rsidR="00FF4003" w:rsidRDefault="00FF4003" w:rsidP="00FF4003">
      <w:pPr>
        <w:jc w:val="both"/>
      </w:pPr>
      <w:r>
        <w:rPr>
          <w:b/>
          <w:bCs/>
          <w:u w:val="single"/>
        </w:rPr>
        <w:t>3. Умови постачання:</w:t>
      </w:r>
      <w:r>
        <w:t xml:space="preserve"> </w:t>
      </w:r>
    </w:p>
    <w:p w:rsidR="00FF4003" w:rsidRDefault="00FF4003" w:rsidP="00FF4003">
      <w:pPr>
        <w:jc w:val="both"/>
      </w:pPr>
      <w:r>
        <w:t xml:space="preserve">         Вимогою замовника являється постачання учасником – переможцем продукції безпосередньо до місця їх зберігання в заклад освіти.</w:t>
      </w:r>
    </w:p>
    <w:p w:rsidR="00FF4003" w:rsidRDefault="00FF4003" w:rsidP="00FF4003">
      <w:pPr>
        <w:ind w:firstLine="567"/>
        <w:jc w:val="both"/>
      </w:pPr>
      <w:r>
        <w:t>Учасник надає у складі пропозиції гарантійний лист про те, що доставка товару до місця призначення, зважування та вантажно-розвантажувальні роботи будуть здійсненні за рахунок учасника-переможця.</w:t>
      </w:r>
    </w:p>
    <w:p w:rsidR="00FF4003" w:rsidRDefault="00FF4003" w:rsidP="00FF4003">
      <w:pPr>
        <w:ind w:firstLine="567"/>
        <w:jc w:val="both"/>
      </w:pPr>
      <w:r>
        <w:rPr>
          <w:spacing w:val="-2"/>
        </w:rPr>
        <w:t xml:space="preserve"> В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p w:rsidR="00FF4003" w:rsidRDefault="00FF4003" w:rsidP="00FF4003">
      <w:r>
        <w:t>В разі не відповідності пропозиції  Учасника вищевказаним вимогам, така пропозиція буде відхилена Замовником.</w:t>
      </w:r>
    </w:p>
    <w:p w:rsidR="00FF4003" w:rsidRDefault="00FF4003" w:rsidP="00FF4003">
      <w:pPr>
        <w:pageBreakBefore/>
        <w:suppressAutoHyphens w:val="0"/>
        <w:jc w:val="right"/>
      </w:pPr>
      <w:r>
        <w:rPr>
          <w:b/>
          <w:spacing w:val="-3"/>
          <w:sz w:val="20"/>
          <w:szCs w:val="20"/>
        </w:rPr>
        <w:lastRenderedPageBreak/>
        <w:t>Додаток  3 до оголошення</w:t>
      </w:r>
    </w:p>
    <w:p w:rsidR="00FF4003" w:rsidRDefault="00FF4003" w:rsidP="00FF4003">
      <w:pPr>
        <w:pStyle w:val="WW-"/>
        <w:jc w:val="center"/>
        <w:rPr>
          <w:b/>
          <w:spacing w:val="-3"/>
          <w:sz w:val="24"/>
          <w:szCs w:val="24"/>
        </w:rPr>
      </w:pPr>
    </w:p>
    <w:p w:rsidR="00FF4003" w:rsidRDefault="00FF4003" w:rsidP="00FF4003">
      <w:pPr>
        <w:pStyle w:val="WW-"/>
        <w:jc w:val="center"/>
      </w:pPr>
      <w:r>
        <w:rPr>
          <w:b/>
          <w:sz w:val="28"/>
          <w:szCs w:val="28"/>
        </w:rPr>
        <w:t>Інформація учаснику щодо спрощеної закупівлі</w:t>
      </w:r>
    </w:p>
    <w:p w:rsidR="00FF4003" w:rsidRDefault="00FF4003" w:rsidP="00FF4003">
      <w:pPr>
        <w:pStyle w:val="WW-"/>
        <w:jc w:val="center"/>
        <w:rPr>
          <w:b/>
          <w:sz w:val="28"/>
          <w:szCs w:val="28"/>
        </w:rPr>
      </w:pPr>
    </w:p>
    <w:p w:rsidR="00FF4003" w:rsidRDefault="00FF4003" w:rsidP="00FF4003">
      <w:pPr>
        <w:pStyle w:val="a6"/>
        <w:ind w:firstLine="708"/>
        <w:jc w:val="both"/>
      </w:pPr>
      <w:r>
        <w:rPr>
          <w:rFonts w:ascii="Times New Roman" w:hAnsi="Times New Roman" w:cs="Times New Roman"/>
          <w:sz w:val="28"/>
          <w:szCs w:val="28"/>
        </w:rPr>
        <w:t xml:space="preserve">1. 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F4003" w:rsidRDefault="00FF4003" w:rsidP="00FF4003">
      <w:pPr>
        <w:pStyle w:val="a6"/>
        <w:ind w:firstLine="708"/>
        <w:jc w:val="both"/>
      </w:pPr>
      <w:bookmarkStart w:id="4" w:name="n1161"/>
      <w:bookmarkEnd w:id="4"/>
      <w:r>
        <w:rPr>
          <w:rFonts w:ascii="Times New Roman" w:hAnsi="Times New Roman" w:cs="Times New Roman"/>
          <w:sz w:val="28"/>
          <w:szCs w:val="28"/>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без ідентифікації особи, яка звернулася до замовника.</w:t>
      </w:r>
    </w:p>
    <w:p w:rsidR="00FF4003" w:rsidRDefault="00FF4003" w:rsidP="00FF4003">
      <w:pPr>
        <w:pStyle w:val="a6"/>
        <w:ind w:firstLine="708"/>
        <w:jc w:val="both"/>
      </w:pPr>
      <w:bookmarkStart w:id="5" w:name="n1162"/>
      <w:bookmarkEnd w:id="5"/>
      <w:r>
        <w:rPr>
          <w:rFonts w:ascii="Times New Roman" w:hAnsi="Times New Roman" w:cs="Times New Roman"/>
          <w:sz w:val="28"/>
          <w:szCs w:val="28"/>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та/або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оголошення про проведення спрощеної закупівлі, та/або вимог до предмета закупівлі.</w:t>
      </w:r>
    </w:p>
    <w:p w:rsidR="00FF4003" w:rsidRDefault="00FF4003" w:rsidP="00FF4003">
      <w:pPr>
        <w:pStyle w:val="a6"/>
        <w:ind w:firstLine="708"/>
        <w:jc w:val="both"/>
      </w:pPr>
      <w:bookmarkStart w:id="6" w:name="n1163"/>
      <w:bookmarkEnd w:id="6"/>
      <w:r>
        <w:rPr>
          <w:rFonts w:ascii="Times New Roman" w:hAnsi="Times New Roman" w:cs="Times New Roman"/>
          <w:sz w:val="28"/>
          <w:szCs w:val="28"/>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не менше ніж на два робочі дні.</w:t>
      </w:r>
    </w:p>
    <w:p w:rsidR="00FF4003" w:rsidRDefault="00FF4003" w:rsidP="00FF4003">
      <w:pPr>
        <w:pStyle w:val="a6"/>
        <w:ind w:firstLine="708"/>
        <w:jc w:val="both"/>
      </w:pPr>
      <w:bookmarkStart w:id="7" w:name="n1164"/>
      <w:bookmarkEnd w:id="7"/>
      <w:r>
        <w:rPr>
          <w:rFonts w:ascii="Times New Roman" w:hAnsi="Times New Roman" w:cs="Times New Roman"/>
          <w:sz w:val="28"/>
          <w:szCs w:val="28"/>
        </w:rPr>
        <w:t xml:space="preserve">Замовник має право з власної ініціативи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у вигляді нової редакції документів.</w:t>
      </w:r>
    </w:p>
    <w:p w:rsidR="00FF4003" w:rsidRDefault="00FF4003" w:rsidP="00FF4003">
      <w:pPr>
        <w:pStyle w:val="a6"/>
        <w:ind w:firstLine="708"/>
        <w:jc w:val="both"/>
      </w:pPr>
      <w:bookmarkStart w:id="8" w:name="n1165"/>
      <w:bookmarkEnd w:id="8"/>
      <w:r>
        <w:rPr>
          <w:rFonts w:ascii="Times New Roman" w:hAnsi="Times New Roman" w:cs="Times New Roman"/>
          <w:sz w:val="28"/>
          <w:szCs w:val="28"/>
        </w:rPr>
        <w:t>2. Для проведення спрощеної закупівлі із застосуванням електронного аукціону має бути подано не менше двох пропозицій.</w:t>
      </w:r>
    </w:p>
    <w:p w:rsidR="00FF4003" w:rsidRDefault="00FF4003" w:rsidP="00FF4003">
      <w:pPr>
        <w:pStyle w:val="a6"/>
        <w:ind w:firstLine="708"/>
        <w:jc w:val="both"/>
      </w:pPr>
      <w:bookmarkStart w:id="9" w:name="n1166"/>
      <w:bookmarkEnd w:id="9"/>
      <w:r>
        <w:rPr>
          <w:rFonts w:ascii="Times New Roman" w:hAnsi="Times New Roman" w:cs="Times New Roman"/>
          <w:sz w:val="28"/>
          <w:szCs w:val="28"/>
        </w:rPr>
        <w:t xml:space="preserve">У разі якщо була подана одна пропозиція, електронна система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F4003" w:rsidRDefault="00FF4003" w:rsidP="00FF4003">
      <w:pPr>
        <w:pStyle w:val="a6"/>
        <w:ind w:firstLine="708"/>
        <w:jc w:val="both"/>
      </w:pPr>
      <w:bookmarkStart w:id="10" w:name="n1167"/>
      <w:bookmarkEnd w:id="10"/>
      <w:r>
        <w:rPr>
          <w:rFonts w:ascii="Times New Roman" w:hAnsi="Times New Roman" w:cs="Times New Roman"/>
          <w:sz w:val="28"/>
          <w:szCs w:val="28"/>
        </w:rPr>
        <w:t xml:space="preserve">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що підтверджують відповідність вимогам, визначеним замовником.</w:t>
      </w:r>
    </w:p>
    <w:p w:rsidR="00FF4003" w:rsidRDefault="00FF4003" w:rsidP="00FF4003">
      <w:pPr>
        <w:pStyle w:val="a6"/>
        <w:ind w:firstLine="708"/>
        <w:jc w:val="both"/>
      </w:pPr>
      <w:bookmarkStart w:id="11" w:name="n1168"/>
      <w:bookmarkEnd w:id="11"/>
      <w:r>
        <w:rPr>
          <w:rFonts w:ascii="Times New Roman" w:hAnsi="Times New Roman" w:cs="Times New Roman"/>
          <w:sz w:val="28"/>
          <w:szCs w:val="28"/>
        </w:rPr>
        <w:t xml:space="preserve">Електронна система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автоматично формує та надсилає повідомлення учаснику про отримання його пропозиції із зазначенням дати та часу.</w:t>
      </w:r>
    </w:p>
    <w:p w:rsidR="00FF4003" w:rsidRDefault="00FF4003" w:rsidP="00FF4003">
      <w:pPr>
        <w:pStyle w:val="a6"/>
        <w:ind w:firstLine="708"/>
        <w:jc w:val="both"/>
      </w:pPr>
      <w:bookmarkStart w:id="12" w:name="n1169"/>
      <w:bookmarkEnd w:id="12"/>
      <w:r>
        <w:rPr>
          <w:rFonts w:ascii="Times New Roman" w:hAnsi="Times New Roman" w:cs="Times New Roman"/>
          <w:sz w:val="28"/>
          <w:szCs w:val="28"/>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F4003" w:rsidRDefault="00FF4003" w:rsidP="00FF4003">
      <w:pPr>
        <w:pStyle w:val="a6"/>
        <w:ind w:firstLine="708"/>
        <w:jc w:val="both"/>
      </w:pPr>
      <w:bookmarkStart w:id="13" w:name="n1170"/>
      <w:bookmarkEnd w:id="13"/>
      <w:r>
        <w:rPr>
          <w:rFonts w:ascii="Times New Roman" w:hAnsi="Times New Roman" w:cs="Times New Roman"/>
          <w:sz w:val="28"/>
          <w:szCs w:val="28"/>
        </w:rPr>
        <w:t xml:space="preserve">Пропозиції учасників, подані після закінчення строку їх подання, електронною системою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не приймаються.</w:t>
      </w:r>
    </w:p>
    <w:p w:rsidR="00FF4003" w:rsidRDefault="00FF4003" w:rsidP="00FF4003">
      <w:pPr>
        <w:pStyle w:val="a6"/>
        <w:ind w:firstLine="708"/>
        <w:jc w:val="both"/>
      </w:pPr>
      <w:bookmarkStart w:id="14" w:name="n1171"/>
      <w:bookmarkEnd w:id="14"/>
      <w:r>
        <w:rPr>
          <w:rFonts w:ascii="Times New Roman" w:hAnsi="Times New Roman" w:cs="Times New Roman"/>
          <w:sz w:val="28"/>
          <w:szCs w:val="28"/>
        </w:rPr>
        <w:lastRenderedPageBreak/>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F4003" w:rsidRDefault="00FF4003" w:rsidP="00FF4003">
      <w:pPr>
        <w:pStyle w:val="a6"/>
        <w:ind w:firstLine="708"/>
        <w:jc w:val="both"/>
      </w:pPr>
      <w:bookmarkStart w:id="15" w:name="n1172"/>
      <w:bookmarkEnd w:id="15"/>
      <w:r>
        <w:rPr>
          <w:rFonts w:ascii="Times New Roman" w:hAnsi="Times New Roman" w:cs="Times New Roman"/>
          <w:sz w:val="28"/>
          <w:szCs w:val="28"/>
        </w:rPr>
        <w:t xml:space="preserve">Учасник має право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або відкликати свою пропозицію до закінчення строку її подання без втрати свого забезпечення пропозиції.</w:t>
      </w:r>
    </w:p>
    <w:p w:rsidR="00FF4003" w:rsidRDefault="00FF4003" w:rsidP="00FF4003">
      <w:pPr>
        <w:pStyle w:val="a6"/>
        <w:ind w:firstLine="708"/>
        <w:jc w:val="both"/>
      </w:pPr>
      <w:bookmarkStart w:id="16" w:name="n1173"/>
      <w:bookmarkEnd w:id="16"/>
      <w:r>
        <w:rPr>
          <w:rFonts w:ascii="Times New Roman" w:hAnsi="Times New Roman" w:cs="Times New Roman"/>
          <w:sz w:val="28"/>
          <w:szCs w:val="28"/>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до закінчення строку подання пропозицій.</w:t>
      </w:r>
    </w:p>
    <w:p w:rsidR="00FF4003" w:rsidRDefault="00FF4003" w:rsidP="00FF4003">
      <w:pPr>
        <w:pStyle w:val="a6"/>
        <w:ind w:firstLine="708"/>
        <w:jc w:val="both"/>
      </w:pPr>
      <w:bookmarkStart w:id="17" w:name="n1174"/>
      <w:bookmarkEnd w:id="17"/>
      <w:r>
        <w:rPr>
          <w:rFonts w:ascii="Times New Roman" w:hAnsi="Times New Roman" w:cs="Times New Roman"/>
          <w:sz w:val="28"/>
          <w:szCs w:val="28"/>
        </w:rPr>
        <w:t xml:space="preserve">4. Розкриття пропозицій відбувається у порядку, передбаченому абзацами </w:t>
      </w:r>
      <w:hyperlink r:id="rId6" w:anchor="n1493" w:history="1">
        <w:r>
          <w:rPr>
            <w:rStyle w:val="a4"/>
            <w:sz w:val="28"/>
            <w:szCs w:val="28"/>
          </w:rPr>
          <w:t>першим</w:t>
        </w:r>
      </w:hyperlink>
      <w:r>
        <w:rPr>
          <w:rFonts w:ascii="Times New Roman" w:hAnsi="Times New Roman" w:cs="Times New Roman"/>
          <w:sz w:val="28"/>
          <w:szCs w:val="28"/>
        </w:rPr>
        <w:t xml:space="preserve"> і </w:t>
      </w:r>
      <w:hyperlink r:id="rId7" w:anchor="n1494" w:history="1">
        <w:r>
          <w:rPr>
            <w:rStyle w:val="a4"/>
            <w:sz w:val="28"/>
            <w:szCs w:val="28"/>
          </w:rPr>
          <w:t>другим</w:t>
        </w:r>
      </w:hyperlink>
      <w:r>
        <w:rPr>
          <w:rFonts w:ascii="Times New Roman" w:hAnsi="Times New Roman" w:cs="Times New Roman"/>
          <w:sz w:val="28"/>
          <w:szCs w:val="28"/>
        </w:rPr>
        <w:t xml:space="preserve"> частини першої статті 28 Закону України «Про публічні закупівлі».</w:t>
      </w:r>
    </w:p>
    <w:p w:rsidR="00FF4003" w:rsidRDefault="00FF4003" w:rsidP="00FF4003">
      <w:pPr>
        <w:pStyle w:val="a6"/>
        <w:ind w:firstLine="708"/>
        <w:jc w:val="both"/>
      </w:pPr>
      <w:bookmarkStart w:id="18" w:name="n1175"/>
      <w:bookmarkEnd w:id="18"/>
      <w:r>
        <w:rPr>
          <w:rFonts w:ascii="Times New Roman" w:hAnsi="Times New Roman" w:cs="Times New Roman"/>
          <w:sz w:val="28"/>
          <w:szCs w:val="28"/>
        </w:rPr>
        <w:t>5.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F4003" w:rsidRDefault="00FF4003" w:rsidP="00FF4003">
      <w:pPr>
        <w:pStyle w:val="a6"/>
        <w:ind w:firstLine="708"/>
        <w:jc w:val="both"/>
      </w:pPr>
      <w:bookmarkStart w:id="19" w:name="n1176"/>
      <w:bookmarkEnd w:id="19"/>
      <w:r>
        <w:rPr>
          <w:rFonts w:ascii="Times New Roman" w:hAnsi="Times New Roman" w:cs="Times New Roman"/>
          <w:sz w:val="28"/>
          <w:szCs w:val="28"/>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F4003" w:rsidRDefault="00FF4003" w:rsidP="00FF4003">
      <w:pPr>
        <w:pStyle w:val="a6"/>
        <w:ind w:firstLine="708"/>
        <w:jc w:val="both"/>
      </w:pPr>
      <w:bookmarkStart w:id="20" w:name="n1177"/>
      <w:bookmarkEnd w:id="20"/>
      <w:r>
        <w:rPr>
          <w:rFonts w:ascii="Times New Roman" w:hAnsi="Times New Roman" w:cs="Times New Roman"/>
          <w:sz w:val="28"/>
          <w:szCs w:val="28"/>
        </w:rPr>
        <w:t>6. За результатами оцінки та розгляду пропозиції замовник визначає переможця.</w:t>
      </w:r>
    </w:p>
    <w:p w:rsidR="00FF4003" w:rsidRDefault="00FF4003" w:rsidP="00FF4003">
      <w:pPr>
        <w:pStyle w:val="a6"/>
        <w:ind w:firstLine="708"/>
        <w:jc w:val="both"/>
      </w:pPr>
      <w:bookmarkStart w:id="21" w:name="n1178"/>
      <w:bookmarkEnd w:id="21"/>
      <w:r>
        <w:rPr>
          <w:rFonts w:ascii="Times New Roman" w:hAnsi="Times New Roman" w:cs="Times New Roman"/>
          <w:sz w:val="28"/>
          <w:szCs w:val="28"/>
        </w:rPr>
        <w:t xml:space="preserve">Повідомлення про намір укласти договір про закупівлю замовник оприлюднює в електронній системі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w:t>
      </w:r>
    </w:p>
    <w:p w:rsidR="00FF4003" w:rsidRDefault="00FF4003" w:rsidP="00FF4003">
      <w:pPr>
        <w:pStyle w:val="a6"/>
        <w:ind w:firstLine="708"/>
        <w:jc w:val="both"/>
      </w:pPr>
      <w:bookmarkStart w:id="22" w:name="n1179"/>
      <w:bookmarkEnd w:id="22"/>
      <w:r>
        <w:rPr>
          <w:rFonts w:ascii="Times New Roman" w:hAnsi="Times New Roman" w:cs="Times New Roman"/>
          <w:sz w:val="28"/>
          <w:szCs w:val="28"/>
        </w:rPr>
        <w:t xml:space="preserve">У разі відхилення найбільш економічно вигідної пропозиції відповідно до </w:t>
      </w:r>
      <w:hyperlink r:id="rId8" w:anchor="n1181" w:history="1">
        <w:r>
          <w:rPr>
            <w:rStyle w:val="a4"/>
            <w:sz w:val="28"/>
            <w:szCs w:val="28"/>
          </w:rPr>
          <w:t>частини 13</w:t>
        </w:r>
      </w:hyperlink>
      <w:r>
        <w:rPr>
          <w:rFonts w:ascii="Times New Roman" w:hAnsi="Times New Roman" w:cs="Times New Roman"/>
          <w:sz w:val="28"/>
          <w:szCs w:val="28"/>
        </w:rPr>
        <w:t xml:space="preserve"> статті 14 Закону України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rsidR="00FF4003" w:rsidRDefault="00FF4003" w:rsidP="00FF4003">
      <w:pPr>
        <w:pStyle w:val="a6"/>
        <w:ind w:firstLine="708"/>
        <w:jc w:val="both"/>
      </w:pPr>
      <w:bookmarkStart w:id="23" w:name="n1180"/>
      <w:bookmarkEnd w:id="23"/>
      <w:r>
        <w:rPr>
          <w:rFonts w:ascii="Times New Roman" w:hAnsi="Times New Roman" w:cs="Times New Roman"/>
          <w:sz w:val="28"/>
          <w:szCs w:val="28"/>
        </w:rPr>
        <w:t xml:space="preserve">Наступна найбільш економічно вигідна пропозиція визначається електронною системою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автоматично.</w:t>
      </w:r>
    </w:p>
    <w:p w:rsidR="00FF4003" w:rsidRDefault="00FF4003" w:rsidP="00FF4003">
      <w:pPr>
        <w:pStyle w:val="a6"/>
        <w:ind w:firstLine="708"/>
        <w:jc w:val="both"/>
      </w:pPr>
      <w:bookmarkStart w:id="24" w:name="n1181"/>
      <w:bookmarkEnd w:id="24"/>
      <w:r>
        <w:rPr>
          <w:rFonts w:ascii="Times New Roman" w:hAnsi="Times New Roman" w:cs="Times New Roman"/>
          <w:color w:val="auto"/>
          <w:sz w:val="28"/>
          <w:szCs w:val="28"/>
        </w:rPr>
        <w:t>7. Замовник відхиляє пропозицію в разі, якщо:</w:t>
      </w:r>
    </w:p>
    <w:p w:rsidR="00FF4003" w:rsidRDefault="00FF4003" w:rsidP="00FF4003">
      <w:pPr>
        <w:pStyle w:val="a6"/>
        <w:ind w:firstLine="708"/>
        <w:jc w:val="both"/>
      </w:pPr>
      <w:bookmarkStart w:id="25" w:name="n1182"/>
      <w:bookmarkEnd w:id="25"/>
      <w:r>
        <w:rPr>
          <w:rFonts w:ascii="Times New Roman" w:hAnsi="Times New Roman" w:cs="Times New Roman"/>
          <w:sz w:val="28"/>
          <w:szCs w:val="28"/>
        </w:rPr>
        <w:t>1) пропозиція учасника не відповідає умовам, визначеним в оголошенні про проведення спрощеної закупівлі, та вимогам до предмета закупівлі;</w:t>
      </w:r>
    </w:p>
    <w:p w:rsidR="00FF4003" w:rsidRDefault="00FF4003" w:rsidP="00FF4003">
      <w:pPr>
        <w:pStyle w:val="a6"/>
        <w:ind w:firstLine="708"/>
        <w:jc w:val="both"/>
      </w:pPr>
      <w:bookmarkStart w:id="26" w:name="n1183"/>
      <w:bookmarkEnd w:id="26"/>
      <w:r>
        <w:rPr>
          <w:rFonts w:ascii="Times New Roman" w:hAnsi="Times New Roman" w:cs="Times New Roman"/>
          <w:sz w:val="28"/>
          <w:szCs w:val="28"/>
        </w:rPr>
        <w:t>2) учасник не надав забезпечення пропозиції, якщо таке забезпечення вимагалося замовником;</w:t>
      </w:r>
    </w:p>
    <w:p w:rsidR="00FF4003" w:rsidRDefault="00FF4003" w:rsidP="00FF4003">
      <w:pPr>
        <w:pStyle w:val="a6"/>
        <w:ind w:firstLine="708"/>
        <w:jc w:val="both"/>
      </w:pPr>
      <w:bookmarkStart w:id="27" w:name="n1184"/>
      <w:bookmarkEnd w:id="27"/>
      <w:r>
        <w:rPr>
          <w:rFonts w:ascii="Times New Roman" w:hAnsi="Times New Roman" w:cs="Times New Roman"/>
          <w:sz w:val="28"/>
          <w:szCs w:val="28"/>
        </w:rPr>
        <w:t>3) учасник, який визначений переможцем спрощеної закупівлі, відмовився від укладення договору про закупівлю;</w:t>
      </w:r>
    </w:p>
    <w:p w:rsidR="00FF4003" w:rsidRDefault="00FF4003" w:rsidP="00FF4003">
      <w:pPr>
        <w:pStyle w:val="a6"/>
        <w:ind w:firstLine="708"/>
        <w:jc w:val="both"/>
      </w:pPr>
      <w:bookmarkStart w:id="28" w:name="n1185"/>
      <w:bookmarkEnd w:id="28"/>
      <w:r>
        <w:rPr>
          <w:rFonts w:ascii="Times New Roman" w:hAnsi="Times New Roman" w:cs="Times New Roman"/>
          <w:sz w:val="28"/>
          <w:szCs w:val="28"/>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sz w:val="28"/>
          <w:szCs w:val="28"/>
        </w:rPr>
        <w:t>неукладення</w:t>
      </w:r>
      <w:proofErr w:type="spellEnd"/>
      <w:r>
        <w:rPr>
          <w:rFonts w:ascii="Times New Roman" w:hAnsi="Times New Roman" w:cs="Times New Roman"/>
          <w:sz w:val="28"/>
          <w:szCs w:val="28"/>
        </w:rPr>
        <w:t xml:space="preserve"> договору з боку учасника) більше двох разів із замовником, який проводить таку спрощену закупівлю.</w:t>
      </w:r>
    </w:p>
    <w:p w:rsidR="00FF4003" w:rsidRDefault="00FF4003" w:rsidP="00FF4003">
      <w:pPr>
        <w:pStyle w:val="a6"/>
        <w:ind w:firstLine="708"/>
        <w:jc w:val="both"/>
      </w:pPr>
      <w:bookmarkStart w:id="29" w:name="n1186"/>
      <w:bookmarkEnd w:id="29"/>
      <w:r>
        <w:rPr>
          <w:rFonts w:ascii="Times New Roman" w:hAnsi="Times New Roman" w:cs="Times New Roman"/>
          <w:sz w:val="28"/>
          <w:szCs w:val="28"/>
        </w:rPr>
        <w:t xml:space="preserve">8.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та автоматично надсилається учаснику, пропозиція якого відхилена через електронну систему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w:t>
      </w:r>
    </w:p>
    <w:p w:rsidR="00FF4003" w:rsidRDefault="00FF4003" w:rsidP="00FF4003">
      <w:pPr>
        <w:pStyle w:val="a6"/>
        <w:ind w:firstLine="708"/>
        <w:jc w:val="both"/>
      </w:pPr>
      <w:bookmarkStart w:id="30" w:name="n1187"/>
      <w:bookmarkEnd w:id="30"/>
      <w:r>
        <w:rPr>
          <w:rFonts w:ascii="Times New Roman" w:hAnsi="Times New Roman" w:cs="Times New Roman"/>
          <w:sz w:val="28"/>
          <w:szCs w:val="28"/>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w:t>
      </w:r>
      <w:r>
        <w:rPr>
          <w:rFonts w:ascii="Times New Roman" w:hAnsi="Times New Roman" w:cs="Times New Roman"/>
          <w:sz w:val="28"/>
          <w:szCs w:val="28"/>
        </w:rPr>
        <w:lastRenderedPageBreak/>
        <w:t xml:space="preserve">дні з дня надходження такого звернення через електронну систему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замовник зобов’язаний надати йому відповідь.</w:t>
      </w:r>
    </w:p>
    <w:p w:rsidR="00FF4003" w:rsidRDefault="00FF4003" w:rsidP="00FF4003">
      <w:pPr>
        <w:pStyle w:val="a6"/>
        <w:ind w:firstLine="708"/>
        <w:jc w:val="both"/>
      </w:pPr>
      <w:bookmarkStart w:id="31" w:name="n1188"/>
      <w:bookmarkEnd w:id="31"/>
      <w:r>
        <w:rPr>
          <w:rFonts w:ascii="Times New Roman" w:hAnsi="Times New Roman" w:cs="Times New Roman"/>
          <w:sz w:val="28"/>
          <w:szCs w:val="28"/>
        </w:rPr>
        <w:t>9.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F4003" w:rsidRDefault="00FF4003" w:rsidP="00FF4003">
      <w:pPr>
        <w:pStyle w:val="a6"/>
        <w:ind w:firstLine="708"/>
        <w:jc w:val="both"/>
      </w:pPr>
      <w:bookmarkStart w:id="32" w:name="n1189"/>
      <w:bookmarkEnd w:id="32"/>
      <w:r>
        <w:rPr>
          <w:rFonts w:ascii="Times New Roman" w:hAnsi="Times New Roman" w:cs="Times New Roman"/>
          <w:sz w:val="28"/>
          <w:szCs w:val="28"/>
        </w:rPr>
        <w:t xml:space="preserve">Договір про закупівлю укладається згідно з вимогами </w:t>
      </w:r>
      <w:hyperlink r:id="rId9" w:anchor="n1760" w:history="1">
        <w:r>
          <w:rPr>
            <w:rStyle w:val="a4"/>
            <w:sz w:val="28"/>
            <w:szCs w:val="28"/>
          </w:rPr>
          <w:t>статті 41</w:t>
        </w:r>
      </w:hyperlink>
      <w:r>
        <w:t xml:space="preserve"> </w:t>
      </w:r>
      <w:r>
        <w:rPr>
          <w:rFonts w:ascii="Times New Roman" w:hAnsi="Times New Roman" w:cs="Times New Roman"/>
          <w:sz w:val="28"/>
          <w:szCs w:val="28"/>
        </w:rPr>
        <w:t>Закону України «Про публічні закупівлі».</w:t>
      </w:r>
    </w:p>
    <w:p w:rsidR="00FF4003" w:rsidRDefault="00FF4003" w:rsidP="00FF4003">
      <w:pPr>
        <w:pStyle w:val="a6"/>
        <w:ind w:firstLine="708"/>
        <w:jc w:val="both"/>
      </w:pPr>
      <w:bookmarkStart w:id="33" w:name="n1190"/>
      <w:bookmarkEnd w:id="33"/>
      <w:r>
        <w:rPr>
          <w:rFonts w:ascii="Times New Roman" w:hAnsi="Times New Roman" w:cs="Times New Roman"/>
          <w:sz w:val="28"/>
          <w:szCs w:val="28"/>
        </w:rPr>
        <w:t xml:space="preserve">10. Звіт про результати проведення закупівлі оприлюднюється у порядку, передбаченому </w:t>
      </w:r>
      <w:hyperlink r:id="rId10" w:anchor="n1039" w:history="1">
        <w:r>
          <w:rPr>
            <w:rStyle w:val="a4"/>
            <w:sz w:val="28"/>
            <w:szCs w:val="28"/>
          </w:rPr>
          <w:t>статтями 10</w:t>
        </w:r>
      </w:hyperlink>
      <w:r>
        <w:rPr>
          <w:rFonts w:ascii="Times New Roman" w:hAnsi="Times New Roman" w:cs="Times New Roman"/>
          <w:sz w:val="28"/>
          <w:szCs w:val="28"/>
        </w:rPr>
        <w:t xml:space="preserve"> і </w:t>
      </w:r>
      <w:hyperlink r:id="rId11" w:anchor="n1357" w:history="1">
        <w:r>
          <w:rPr>
            <w:rStyle w:val="a4"/>
            <w:sz w:val="28"/>
            <w:szCs w:val="28"/>
          </w:rPr>
          <w:t>19</w:t>
        </w:r>
      </w:hyperlink>
      <w:r>
        <w:rPr>
          <w:rFonts w:ascii="Times New Roman" w:hAnsi="Times New Roman" w:cs="Times New Roman"/>
          <w:sz w:val="28"/>
          <w:szCs w:val="28"/>
        </w:rPr>
        <w:t xml:space="preserve"> Закону України «Про публічні закупівлі».</w:t>
      </w:r>
    </w:p>
    <w:p w:rsidR="00FF4003" w:rsidRDefault="00FF4003" w:rsidP="00FF4003">
      <w:pPr>
        <w:pStyle w:val="a6"/>
        <w:ind w:firstLine="708"/>
        <w:jc w:val="both"/>
      </w:pPr>
      <w:bookmarkStart w:id="34" w:name="n1191"/>
      <w:bookmarkEnd w:id="34"/>
      <w:r>
        <w:rPr>
          <w:rFonts w:ascii="Times New Roman" w:hAnsi="Times New Roman" w:cs="Times New Roman"/>
          <w:color w:val="auto"/>
          <w:sz w:val="28"/>
          <w:szCs w:val="28"/>
        </w:rPr>
        <w:t>11. Замовник відміняє спрощену закупівлю в разі:</w:t>
      </w:r>
    </w:p>
    <w:p w:rsidR="00FF4003" w:rsidRDefault="00FF4003" w:rsidP="00FF4003">
      <w:pPr>
        <w:pStyle w:val="a6"/>
        <w:ind w:firstLine="708"/>
        <w:jc w:val="both"/>
      </w:pPr>
      <w:bookmarkStart w:id="35" w:name="n1192"/>
      <w:bookmarkEnd w:id="35"/>
      <w:r>
        <w:rPr>
          <w:rFonts w:ascii="Times New Roman" w:hAnsi="Times New Roman" w:cs="Times New Roman"/>
          <w:sz w:val="28"/>
          <w:szCs w:val="28"/>
        </w:rPr>
        <w:t>1) відсутності подальшої потреби в закупівлі товарів, робіт і послуг;</w:t>
      </w:r>
    </w:p>
    <w:p w:rsidR="00FF4003" w:rsidRDefault="00FF4003" w:rsidP="00FF4003">
      <w:pPr>
        <w:pStyle w:val="a6"/>
        <w:ind w:firstLine="708"/>
        <w:jc w:val="both"/>
      </w:pPr>
      <w:bookmarkStart w:id="36" w:name="n1193"/>
      <w:bookmarkEnd w:id="36"/>
      <w:r>
        <w:rPr>
          <w:rFonts w:ascii="Times New Roman" w:hAnsi="Times New Roman" w:cs="Times New Roman"/>
          <w:sz w:val="28"/>
          <w:szCs w:val="28"/>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w:t>
      </w:r>
    </w:p>
    <w:p w:rsidR="00FF4003" w:rsidRDefault="00FF4003" w:rsidP="00FF4003">
      <w:pPr>
        <w:pStyle w:val="a6"/>
        <w:ind w:firstLine="708"/>
        <w:jc w:val="both"/>
      </w:pPr>
      <w:bookmarkStart w:id="37" w:name="n1194"/>
      <w:bookmarkEnd w:id="37"/>
      <w:r>
        <w:rPr>
          <w:rFonts w:ascii="Times New Roman" w:hAnsi="Times New Roman" w:cs="Times New Roman"/>
          <w:sz w:val="28"/>
          <w:szCs w:val="28"/>
        </w:rPr>
        <w:t>3) скорочення видатків на здійснення закупівлі товарів, робіт і послуг.</w:t>
      </w:r>
    </w:p>
    <w:p w:rsidR="00FF4003" w:rsidRDefault="00FF4003" w:rsidP="00FF4003">
      <w:pPr>
        <w:pStyle w:val="a6"/>
        <w:ind w:firstLine="708"/>
        <w:jc w:val="both"/>
      </w:pPr>
      <w:bookmarkStart w:id="38" w:name="n1195"/>
      <w:bookmarkEnd w:id="38"/>
      <w:r>
        <w:rPr>
          <w:rFonts w:ascii="Times New Roman" w:hAnsi="Times New Roman" w:cs="Times New Roman"/>
          <w:sz w:val="28"/>
          <w:szCs w:val="28"/>
        </w:rPr>
        <w:t xml:space="preserve">12. Спрощена закупівля автоматично відміняється електронною системою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у разі:</w:t>
      </w:r>
    </w:p>
    <w:p w:rsidR="00FF4003" w:rsidRDefault="00FF4003" w:rsidP="00FF4003">
      <w:pPr>
        <w:pStyle w:val="a6"/>
        <w:ind w:firstLine="708"/>
        <w:jc w:val="both"/>
      </w:pPr>
      <w:bookmarkStart w:id="39" w:name="n1196"/>
      <w:bookmarkEnd w:id="39"/>
      <w:r>
        <w:rPr>
          <w:rFonts w:ascii="Times New Roman" w:hAnsi="Times New Roman" w:cs="Times New Roman"/>
          <w:sz w:val="28"/>
          <w:szCs w:val="28"/>
        </w:rPr>
        <w:t xml:space="preserve">1) відхилення всіх пропозицій згідно з </w:t>
      </w:r>
      <w:hyperlink r:id="rId12" w:anchor="n1181" w:history="1">
        <w:r>
          <w:rPr>
            <w:rStyle w:val="a4"/>
            <w:sz w:val="28"/>
            <w:szCs w:val="28"/>
          </w:rPr>
          <w:t>частиною 13</w:t>
        </w:r>
      </w:hyperlink>
      <w:r>
        <w:t xml:space="preserve"> </w:t>
      </w:r>
      <w:r>
        <w:rPr>
          <w:rFonts w:ascii="Times New Roman" w:hAnsi="Times New Roman" w:cs="Times New Roman"/>
          <w:sz w:val="28"/>
          <w:szCs w:val="28"/>
        </w:rPr>
        <w:t>статті 14 Закону України «Про публічні закупівлі»;</w:t>
      </w:r>
    </w:p>
    <w:p w:rsidR="00FF4003" w:rsidRDefault="00FF4003" w:rsidP="00FF4003">
      <w:pPr>
        <w:pStyle w:val="a6"/>
        <w:ind w:firstLine="708"/>
        <w:jc w:val="both"/>
      </w:pPr>
      <w:bookmarkStart w:id="40" w:name="n1197"/>
      <w:bookmarkEnd w:id="40"/>
      <w:r>
        <w:rPr>
          <w:rFonts w:ascii="Times New Roman" w:hAnsi="Times New Roman" w:cs="Times New Roman"/>
          <w:sz w:val="28"/>
          <w:szCs w:val="28"/>
        </w:rPr>
        <w:t>2) відсутності пропозицій учасників для участі в ній.</w:t>
      </w:r>
    </w:p>
    <w:p w:rsidR="00FF4003" w:rsidRDefault="00FF4003" w:rsidP="00FF4003">
      <w:pPr>
        <w:pStyle w:val="a6"/>
        <w:ind w:firstLine="708"/>
        <w:jc w:val="both"/>
      </w:pPr>
      <w:bookmarkStart w:id="41" w:name="n1198"/>
      <w:bookmarkEnd w:id="41"/>
      <w:r>
        <w:rPr>
          <w:rFonts w:ascii="Times New Roman" w:hAnsi="Times New Roman" w:cs="Times New Roman"/>
          <w:sz w:val="28"/>
          <w:szCs w:val="28"/>
        </w:rPr>
        <w:t>Спрощена закупівля може бути відмінена частково (за лотом).</w:t>
      </w:r>
    </w:p>
    <w:p w:rsidR="00FF4003" w:rsidRDefault="00FF4003" w:rsidP="00FF4003">
      <w:pPr>
        <w:pStyle w:val="a6"/>
        <w:ind w:firstLine="708"/>
        <w:jc w:val="both"/>
      </w:pPr>
      <w:bookmarkStart w:id="42" w:name="n1199"/>
      <w:bookmarkEnd w:id="42"/>
      <w:r>
        <w:rPr>
          <w:rFonts w:ascii="Times New Roman" w:hAnsi="Times New Roman" w:cs="Times New Roman"/>
          <w:sz w:val="28"/>
          <w:szCs w:val="28"/>
        </w:rPr>
        <w:t xml:space="preserve">13. Повідомлення про відміну закупівлі оприлюднюється в електронній системі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w:t>
      </w:r>
    </w:p>
    <w:p w:rsidR="00FF4003" w:rsidRDefault="00FF4003" w:rsidP="00FF4003">
      <w:pPr>
        <w:pStyle w:val="a6"/>
        <w:ind w:firstLine="708"/>
        <w:jc w:val="both"/>
      </w:pPr>
      <w:bookmarkStart w:id="43" w:name="n1200"/>
      <w:bookmarkEnd w:id="43"/>
      <w:r>
        <w:rPr>
          <w:rFonts w:ascii="Times New Roman" w:hAnsi="Times New Roman" w:cs="Times New Roman"/>
          <w:sz w:val="28"/>
          <w:szCs w:val="28"/>
        </w:rPr>
        <w:t>1) замовником протягом одного робочого дня з дня прийняття замовником відповідного рішення;</w:t>
      </w:r>
    </w:p>
    <w:p w:rsidR="00FF4003" w:rsidRDefault="00FF4003" w:rsidP="00FF4003">
      <w:pPr>
        <w:pStyle w:val="a6"/>
        <w:ind w:firstLine="708"/>
        <w:jc w:val="both"/>
      </w:pPr>
      <w:bookmarkStart w:id="44" w:name="n1201"/>
      <w:bookmarkEnd w:id="44"/>
      <w:r>
        <w:rPr>
          <w:rFonts w:ascii="Times New Roman" w:hAnsi="Times New Roman" w:cs="Times New Roman"/>
          <w:sz w:val="28"/>
          <w:szCs w:val="28"/>
        </w:rPr>
        <w:t xml:space="preserve">2) електронною системою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Pr>
            <w:rStyle w:val="a4"/>
            <w:sz w:val="28"/>
            <w:szCs w:val="28"/>
          </w:rPr>
          <w:t>частиною 13</w:t>
        </w:r>
      </w:hyperlink>
      <w:r>
        <w:rPr>
          <w:rFonts w:ascii="Times New Roman" w:hAnsi="Times New Roman" w:cs="Times New Roman"/>
          <w:sz w:val="28"/>
          <w:szCs w:val="28"/>
        </w:rPr>
        <w:t xml:space="preserve"> статті 14 Закону України «Про публічні закупівлі»  або відсутності пропозицій учасників для участі у ній.</w:t>
      </w:r>
    </w:p>
    <w:p w:rsidR="00FF4003" w:rsidRDefault="00FF4003" w:rsidP="00FF4003">
      <w:pPr>
        <w:pStyle w:val="a6"/>
        <w:ind w:firstLine="708"/>
        <w:jc w:val="both"/>
      </w:pPr>
      <w:bookmarkStart w:id="45" w:name="n1202"/>
      <w:bookmarkEnd w:id="45"/>
      <w:r>
        <w:rPr>
          <w:rFonts w:ascii="Times New Roman" w:hAnsi="Times New Roman" w:cs="Times New Roman"/>
          <w:sz w:val="28"/>
          <w:szCs w:val="28"/>
        </w:rPr>
        <w:t xml:space="preserve">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в день його оприлюднення.</w:t>
      </w:r>
    </w:p>
    <w:p w:rsidR="00FF4003" w:rsidRDefault="00FF4003" w:rsidP="00FF4003">
      <w:pPr>
        <w:pStyle w:val="a6"/>
        <w:ind w:firstLine="708"/>
        <w:jc w:val="both"/>
      </w:pPr>
      <w:bookmarkStart w:id="46" w:name="n1203"/>
      <w:bookmarkEnd w:id="46"/>
      <w:r>
        <w:rPr>
          <w:rFonts w:ascii="Times New Roman" w:hAnsi="Times New Roman" w:cs="Times New Roman"/>
          <w:sz w:val="28"/>
          <w:szCs w:val="28"/>
        </w:rPr>
        <w:t>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FF4003" w:rsidRDefault="00FF4003" w:rsidP="00FF4003">
      <w:pPr>
        <w:pStyle w:val="a6"/>
        <w:ind w:firstLine="708"/>
        <w:jc w:val="both"/>
      </w:pPr>
      <w:bookmarkStart w:id="47" w:name="n1204"/>
      <w:bookmarkEnd w:id="47"/>
      <w:r>
        <w:rPr>
          <w:rFonts w:ascii="Times New Roman" w:hAnsi="Times New Roman" w:cs="Times New Roman"/>
          <w:sz w:val="28"/>
          <w:szCs w:val="28"/>
        </w:rPr>
        <w:t>Рішення та дії замовника можуть бути оскаржені учасником спрощеної закупівлі у судовому порядку.</w:t>
      </w:r>
    </w:p>
    <w:p w:rsidR="00FF4003" w:rsidRDefault="00FF4003" w:rsidP="00FF4003">
      <w:pPr>
        <w:pStyle w:val="WW-"/>
        <w:jc w:val="center"/>
        <w:rPr>
          <w:b/>
          <w:bCs/>
          <w:color w:val="auto"/>
          <w:sz w:val="28"/>
          <w:szCs w:val="28"/>
        </w:rPr>
      </w:pPr>
    </w:p>
    <w:p w:rsidR="00FF4003" w:rsidRDefault="00FF4003" w:rsidP="00FF4003">
      <w:pPr>
        <w:pStyle w:val="WW-"/>
        <w:jc w:val="center"/>
        <w:rPr>
          <w:b/>
          <w:bCs/>
          <w:color w:val="auto"/>
          <w:sz w:val="28"/>
          <w:szCs w:val="28"/>
        </w:rPr>
      </w:pPr>
    </w:p>
    <w:p w:rsidR="00FF4003" w:rsidRDefault="00FF4003" w:rsidP="00FF4003">
      <w:pPr>
        <w:pStyle w:val="WW-"/>
        <w:jc w:val="center"/>
        <w:rPr>
          <w:b/>
          <w:bCs/>
          <w:color w:val="auto"/>
          <w:sz w:val="28"/>
          <w:szCs w:val="28"/>
        </w:rPr>
      </w:pPr>
    </w:p>
    <w:p w:rsidR="00FF4003" w:rsidRDefault="00FF4003" w:rsidP="00FF4003">
      <w:pPr>
        <w:pStyle w:val="WW-"/>
        <w:jc w:val="center"/>
        <w:rPr>
          <w:b/>
          <w:bCs/>
          <w:color w:val="auto"/>
          <w:sz w:val="28"/>
          <w:szCs w:val="28"/>
        </w:rPr>
      </w:pPr>
    </w:p>
    <w:p w:rsidR="00FF4003" w:rsidRDefault="00FF4003" w:rsidP="00FF4003">
      <w:pPr>
        <w:pStyle w:val="WW-"/>
        <w:jc w:val="center"/>
        <w:rPr>
          <w:b/>
          <w:bCs/>
          <w:color w:val="auto"/>
          <w:sz w:val="28"/>
          <w:szCs w:val="28"/>
        </w:rPr>
      </w:pPr>
    </w:p>
    <w:p w:rsidR="00FF4003" w:rsidRDefault="00FF4003" w:rsidP="00FF4003">
      <w:pPr>
        <w:keepLines/>
        <w:autoSpaceDE w:val="0"/>
        <w:jc w:val="right"/>
        <w:rPr>
          <w:b/>
          <w:bCs/>
          <w:spacing w:val="-3"/>
          <w:sz w:val="20"/>
          <w:szCs w:val="20"/>
        </w:rPr>
      </w:pPr>
    </w:p>
    <w:p w:rsidR="00FF4003" w:rsidRDefault="00FF4003" w:rsidP="00FF4003">
      <w:pPr>
        <w:keepLines/>
        <w:pageBreakBefore/>
        <w:autoSpaceDE w:val="0"/>
        <w:jc w:val="right"/>
      </w:pPr>
      <w:r>
        <w:rPr>
          <w:b/>
          <w:spacing w:val="-3"/>
          <w:sz w:val="20"/>
          <w:szCs w:val="20"/>
        </w:rPr>
        <w:lastRenderedPageBreak/>
        <w:t>Додаток  4 до оголошення</w:t>
      </w:r>
    </w:p>
    <w:p w:rsidR="00FF4003" w:rsidRDefault="00FF4003" w:rsidP="00FF4003">
      <w:pPr>
        <w:pStyle w:val="WW-"/>
        <w:jc w:val="center"/>
        <w:rPr>
          <w:b/>
          <w:bCs/>
          <w:color w:val="auto"/>
          <w:spacing w:val="-3"/>
          <w:sz w:val="28"/>
          <w:szCs w:val="28"/>
        </w:rPr>
      </w:pPr>
    </w:p>
    <w:p w:rsidR="00FF4003" w:rsidRDefault="00FF4003" w:rsidP="00FF4003">
      <w:pPr>
        <w:pStyle w:val="WW-"/>
        <w:jc w:val="center"/>
      </w:pPr>
      <w:r>
        <w:rPr>
          <w:b/>
          <w:bCs/>
          <w:sz w:val="28"/>
          <w:szCs w:val="28"/>
        </w:rPr>
        <w:t>Вимоги до кваліфікації учасників та спосіб їх підтвердження</w:t>
      </w:r>
    </w:p>
    <w:p w:rsidR="00FF4003" w:rsidRDefault="00FF4003" w:rsidP="00FF4003">
      <w:pPr>
        <w:pStyle w:val="3"/>
        <w:numPr>
          <w:ilvl w:val="2"/>
          <w:numId w:val="1"/>
        </w:numPr>
        <w:shd w:val="clear" w:color="auto" w:fill="FFFFFF"/>
        <w:snapToGrid w:val="0"/>
        <w:spacing w:before="0" w:after="0"/>
        <w:ind w:left="189" w:firstLine="0"/>
        <w:jc w:val="both"/>
        <w:rPr>
          <w:b w:val="0"/>
          <w:bCs w:val="0"/>
          <w:sz w:val="24"/>
          <w:szCs w:val="24"/>
        </w:rPr>
      </w:pPr>
    </w:p>
    <w:p w:rsidR="00FF4003" w:rsidRDefault="00FF4003" w:rsidP="00FF4003">
      <w:pPr>
        <w:pStyle w:val="a6"/>
        <w:ind w:firstLine="708"/>
        <w:jc w:val="both"/>
      </w:pPr>
      <w:r>
        <w:rPr>
          <w:rFonts w:ascii="Times New Roman" w:hAnsi="Times New Roman" w:cs="Times New Roman"/>
          <w:sz w:val="28"/>
          <w:szCs w:val="28"/>
        </w:rPr>
        <w:t>Перелік документів, які вимагаються для підтвердження відповідність кваліфікаційним критеріям та іншим вимогам:</w:t>
      </w:r>
    </w:p>
    <w:p w:rsidR="00FF4003" w:rsidRDefault="00FF4003" w:rsidP="00FF4003">
      <w:pPr>
        <w:pStyle w:val="1"/>
        <w:spacing w:line="252" w:lineRule="auto"/>
        <w:ind w:firstLine="708"/>
        <w:jc w:val="both"/>
      </w:pPr>
      <w:r>
        <w:rPr>
          <w:rFonts w:ascii="Times New Roman" w:eastAsia="Times New Roman" w:hAnsi="Times New Roman" w:cs="Times New Roman"/>
          <w:sz w:val="28"/>
          <w:szCs w:val="28"/>
        </w:rPr>
        <w:t>1. Довідка в довільній формі, з підписом уповноваженої особи учасника та завірена печаткою*, в якій зазначається інформація про наявність обладнання та матеріально-технічної бази;</w:t>
      </w:r>
    </w:p>
    <w:p w:rsidR="00FF4003" w:rsidRDefault="00FF4003" w:rsidP="00FF4003">
      <w:pPr>
        <w:pStyle w:val="1"/>
        <w:spacing w:line="252" w:lineRule="auto"/>
        <w:ind w:firstLine="708"/>
        <w:jc w:val="both"/>
      </w:pPr>
      <w:r>
        <w:rPr>
          <w:rFonts w:ascii="Times New Roman" w:eastAsia="Times New Roman" w:hAnsi="Times New Roman" w:cs="Times New Roman"/>
          <w:sz w:val="28"/>
          <w:szCs w:val="28"/>
        </w:rPr>
        <w:t xml:space="preserve">2. Довідка в довільній формі, з підписом  уповноваженої особи учасника та завірена печаткою*, </w:t>
      </w:r>
      <w:r>
        <w:rPr>
          <w:rFonts w:ascii="Times New Roman" w:hAnsi="Times New Roman" w:cs="Times New Roman"/>
          <w:sz w:val="28"/>
          <w:szCs w:val="28"/>
        </w:rPr>
        <w:t xml:space="preserve">що містить підтвердження досвіду виконання аналогічного договору (протягом </w:t>
      </w:r>
      <w:r>
        <w:rPr>
          <w:rFonts w:ascii="Times New Roman" w:eastAsia="Times New Roman" w:hAnsi="Times New Roman" w:cs="Times New Roman"/>
          <w:sz w:val="28"/>
          <w:szCs w:val="28"/>
          <w:lang w:eastAsia="ru-RU"/>
        </w:rPr>
        <w:t>2018-2020 років)</w:t>
      </w:r>
      <w:r>
        <w:rPr>
          <w:rFonts w:ascii="Times New Roman" w:hAnsi="Times New Roman" w:cs="Times New Roman"/>
          <w:sz w:val="28"/>
          <w:szCs w:val="28"/>
        </w:rPr>
        <w:t xml:space="preserve"> із зазначенням: найменування, місцезнаходження, </w:t>
      </w:r>
      <w:r>
        <w:rPr>
          <w:rFonts w:ascii="Times New Roman" w:eastAsia="Times New Roman" w:hAnsi="Times New Roman" w:cs="Times New Roman"/>
          <w:sz w:val="28"/>
          <w:szCs w:val="28"/>
          <w:lang w:eastAsia="ru-RU"/>
        </w:rPr>
        <w:t>контактного телефону</w:t>
      </w:r>
      <w:r>
        <w:rPr>
          <w:rFonts w:ascii="Times New Roman" w:hAnsi="Times New Roman" w:cs="Times New Roman"/>
          <w:sz w:val="28"/>
          <w:szCs w:val="28"/>
        </w:rPr>
        <w:t>, коду ЄДРПОУ замовника, якому здійснювалося постачання товару; найменування товару, який постачався за договором; номеру, дати, суми договору та стану його виконання (не менше 2-х договорів).</w:t>
      </w:r>
    </w:p>
    <w:p w:rsidR="00FF4003" w:rsidRDefault="00FF4003" w:rsidP="00FF4003">
      <w:pPr>
        <w:pStyle w:val="1"/>
        <w:spacing w:line="252" w:lineRule="auto"/>
        <w:ind w:firstLine="708"/>
        <w:jc w:val="both"/>
      </w:pPr>
      <w:r>
        <w:rPr>
          <w:rFonts w:ascii="Times New Roman" w:hAnsi="Times New Roman" w:cs="Times New Roman"/>
          <w:sz w:val="28"/>
          <w:szCs w:val="28"/>
        </w:rPr>
        <w:t>3.</w:t>
      </w:r>
      <w:r>
        <w:rPr>
          <w:rFonts w:ascii="Times New Roman" w:hAnsi="Times New Roman" w:cs="Times New Roman"/>
          <w:color w:val="FF0000"/>
          <w:sz w:val="28"/>
          <w:szCs w:val="28"/>
        </w:rPr>
        <w:t xml:space="preserve"> </w:t>
      </w:r>
      <w:r>
        <w:rPr>
          <w:rFonts w:ascii="Times New Roman" w:hAnsi="Times New Roman" w:cs="Times New Roman"/>
          <w:sz w:val="28"/>
          <w:szCs w:val="28"/>
        </w:rPr>
        <w:t>Гарантійний лист в довільній формі на фірмовому бланку учасника (у разі його наявності) про те що учасник у разі перемоги зобов’язується поставити товар разом з паспортом виробника та сертифікатом якості дійсними на момент поставки товару.</w:t>
      </w:r>
    </w:p>
    <w:p w:rsidR="00FF4003" w:rsidRDefault="00FF4003" w:rsidP="00FF4003">
      <w:pPr>
        <w:pStyle w:val="LO-normal"/>
        <w:spacing w:line="240" w:lineRule="auto"/>
        <w:jc w:val="both"/>
      </w:pPr>
      <w:r>
        <w:rPr>
          <w:rFonts w:ascii="Times New Roman" w:hAnsi="Times New Roman" w:cs="Times New Roman"/>
          <w:b/>
          <w:bCs/>
          <w:sz w:val="28"/>
          <w:szCs w:val="28"/>
        </w:rPr>
        <w:tab/>
      </w:r>
      <w:r>
        <w:rPr>
          <w:rFonts w:ascii="Times New Roman" w:hAnsi="Times New Roman" w:cs="Times New Roman"/>
          <w:bCs/>
          <w:sz w:val="28"/>
          <w:szCs w:val="28"/>
        </w:rPr>
        <w:t xml:space="preserve">4. </w:t>
      </w:r>
      <w:r>
        <w:rPr>
          <w:rFonts w:ascii="Times New Roman" w:eastAsia="Times New Roman" w:hAnsi="Times New Roman" w:cs="Times New Roman"/>
          <w:sz w:val="28"/>
          <w:szCs w:val="28"/>
        </w:rPr>
        <w:t>На вибір учасника: копія виписки з протоколу засновників, копія наказу про призначення, довіреність, доручення або інший документ, що підтверджує повноваження посадової особи або представника учасника на підписання документів щодо пропозиції, повноваження посадової особи або представника учасника щодо підпису договорів про закупівлю.</w:t>
      </w:r>
    </w:p>
    <w:p w:rsidR="00FF4003" w:rsidRDefault="00FF4003" w:rsidP="00FF4003">
      <w:pPr>
        <w:pStyle w:val="LO-normal"/>
        <w:jc w:val="both"/>
      </w:pPr>
      <w:r>
        <w:rPr>
          <w:rFonts w:ascii="Times New Roman" w:eastAsia="Times New Roman" w:hAnsi="Times New Roman" w:cs="Times New Roman"/>
          <w:sz w:val="28"/>
          <w:szCs w:val="28"/>
        </w:rPr>
        <w:tab/>
        <w:t>5. Копія паспорту та копія довідки про присвоєння ідентифікаційного коду (для фізичних осіб-підприємців).</w:t>
      </w:r>
    </w:p>
    <w:p w:rsidR="00FF4003" w:rsidRDefault="00FF4003" w:rsidP="00FF4003">
      <w:pPr>
        <w:pStyle w:val="LO-normal"/>
        <w:spacing w:line="240" w:lineRule="auto"/>
        <w:ind w:firstLine="708"/>
        <w:jc w:val="both"/>
      </w:pPr>
      <w:r>
        <w:rPr>
          <w:rFonts w:ascii="Times New Roman" w:eastAsia="Times New Roman" w:hAnsi="Times New Roman" w:cs="Times New Roman"/>
          <w:sz w:val="28"/>
          <w:szCs w:val="28"/>
        </w:rPr>
        <w:t>6. Копія статуту або іншого установчого документу (для юридичних осіб).</w:t>
      </w:r>
    </w:p>
    <w:p w:rsidR="00FF4003" w:rsidRDefault="00FF4003" w:rsidP="00FF4003">
      <w:pPr>
        <w:pStyle w:val="LO-normal"/>
        <w:spacing w:line="240" w:lineRule="auto"/>
        <w:ind w:firstLine="708"/>
        <w:jc w:val="both"/>
      </w:pPr>
      <w:r>
        <w:rPr>
          <w:rFonts w:ascii="Times New Roman" w:eastAsia="Times New Roman" w:hAnsi="Times New Roman" w:cs="Times New Roman"/>
          <w:sz w:val="28"/>
          <w:szCs w:val="28"/>
        </w:rPr>
        <w:t>7. Копія Витягу з Єдиного державного реєстру юридичних осіб, фізичних осіб-підприємців та громадських формувань або виписка/довідка з Єдиного державного реєстру юридичних осіб, фізичних осіб-підприємців та громадських формувань</w:t>
      </w:r>
      <w:r>
        <w:rPr>
          <w:rFonts w:ascii="Times New Roman" w:eastAsia="Times New Roman" w:hAnsi="Times New Roman" w:cs="Times New Roman"/>
          <w:i/>
          <w:sz w:val="28"/>
          <w:szCs w:val="28"/>
        </w:rPr>
        <w:t>.</w:t>
      </w:r>
    </w:p>
    <w:p w:rsidR="00FF4003" w:rsidRDefault="00FF4003" w:rsidP="00FF4003">
      <w:pPr>
        <w:pStyle w:val="LO-normal"/>
        <w:spacing w:line="240" w:lineRule="auto"/>
        <w:ind w:firstLine="708"/>
        <w:jc w:val="both"/>
      </w:pPr>
      <w:r>
        <w:rPr>
          <w:rFonts w:ascii="Times New Roman" w:eastAsia="Times New Roman" w:hAnsi="Times New Roman" w:cs="Times New Roman"/>
          <w:sz w:val="28"/>
          <w:szCs w:val="28"/>
        </w:rPr>
        <w:t xml:space="preserve">8. Копія витягу з реєстру платників податку на додану вартість або свідоцтво про реєстрацію платника податку на додану вартість </w:t>
      </w:r>
      <w:r>
        <w:rPr>
          <w:rFonts w:ascii="Times New Roman" w:eastAsia="Times New Roman" w:hAnsi="Times New Roman" w:cs="Times New Roman"/>
          <w:i/>
          <w:sz w:val="28"/>
          <w:szCs w:val="28"/>
        </w:rPr>
        <w:t>(для платників ПДВ).</w:t>
      </w:r>
    </w:p>
    <w:p w:rsidR="00FF4003" w:rsidRDefault="00FF4003" w:rsidP="00FF4003">
      <w:pPr>
        <w:pStyle w:val="LO-normal"/>
        <w:spacing w:line="240" w:lineRule="auto"/>
        <w:ind w:firstLine="708"/>
        <w:jc w:val="both"/>
      </w:pPr>
      <w:r>
        <w:rPr>
          <w:rFonts w:ascii="Times New Roman" w:eastAsia="Times New Roman" w:hAnsi="Times New Roman" w:cs="Times New Roman"/>
          <w:sz w:val="28"/>
          <w:szCs w:val="28"/>
        </w:rPr>
        <w:t>9. Копія витягу з реєстру платників єдиного податку або свідоцтво про право сплати єдиного податку (</w:t>
      </w:r>
      <w:r>
        <w:rPr>
          <w:rFonts w:ascii="Times New Roman" w:eastAsia="Times New Roman" w:hAnsi="Times New Roman" w:cs="Times New Roman"/>
          <w:i/>
          <w:sz w:val="28"/>
          <w:szCs w:val="28"/>
        </w:rPr>
        <w:t>для платників єдиного податку</w:t>
      </w:r>
      <w:r>
        <w:rPr>
          <w:rFonts w:ascii="Times New Roman" w:eastAsia="Times New Roman" w:hAnsi="Times New Roman" w:cs="Times New Roman"/>
          <w:sz w:val="28"/>
          <w:szCs w:val="28"/>
        </w:rPr>
        <w:t>).</w:t>
      </w:r>
    </w:p>
    <w:p w:rsidR="00FF4003" w:rsidRDefault="00FF4003" w:rsidP="00FF4003">
      <w:pPr>
        <w:pStyle w:val="LO-normal"/>
        <w:tabs>
          <w:tab w:val="left" w:pos="708"/>
          <w:tab w:val="left" w:pos="3495"/>
        </w:tabs>
        <w:spacing w:line="240" w:lineRule="auto"/>
        <w:jc w:val="both"/>
      </w:pPr>
      <w:r>
        <w:rPr>
          <w:rFonts w:ascii="Times New Roman" w:eastAsia="Times New Roman" w:hAnsi="Times New Roman" w:cs="Times New Roman"/>
          <w:sz w:val="28"/>
          <w:szCs w:val="28"/>
        </w:rPr>
        <w:tab/>
      </w:r>
      <w:r>
        <w:rPr>
          <w:rFonts w:ascii="Times New Roman" w:hAnsi="Times New Roman" w:cs="Times New Roman"/>
          <w:sz w:val="28"/>
          <w:szCs w:val="28"/>
        </w:rPr>
        <w:t>10. Пропозиція, відповідно до Додатку 1 до оголошення.</w:t>
      </w:r>
    </w:p>
    <w:p w:rsidR="00FF4003" w:rsidRDefault="00FF4003" w:rsidP="00FF4003">
      <w:pPr>
        <w:ind w:firstLine="708"/>
        <w:jc w:val="both"/>
      </w:pPr>
      <w:r>
        <w:rPr>
          <w:sz w:val="28"/>
          <w:szCs w:val="28"/>
        </w:rPr>
        <w:t xml:space="preserve">11. Довідка, яка підтверджує відповідність пропозиції учасника </w:t>
      </w:r>
      <w:r>
        <w:rPr>
          <w:bCs/>
          <w:sz w:val="28"/>
          <w:szCs w:val="28"/>
        </w:rPr>
        <w:t>технічним, якісним, кількісним та іншим характеристикам предмета закупівлі</w:t>
      </w:r>
      <w:r>
        <w:rPr>
          <w:sz w:val="28"/>
          <w:szCs w:val="28"/>
        </w:rPr>
        <w:t>, встановленим замовником (згідно Додатку 2 до оголошення).</w:t>
      </w:r>
    </w:p>
    <w:p w:rsidR="00FF4003" w:rsidRDefault="00FF4003" w:rsidP="00FF4003">
      <w:pPr>
        <w:ind w:firstLine="708"/>
        <w:jc w:val="both"/>
      </w:pPr>
      <w:r>
        <w:rPr>
          <w:sz w:val="28"/>
          <w:szCs w:val="28"/>
        </w:rPr>
        <w:t xml:space="preserve">12. </w:t>
      </w:r>
      <w:r>
        <w:rPr>
          <w:color w:val="000000"/>
          <w:sz w:val="28"/>
          <w:szCs w:val="28"/>
        </w:rPr>
        <w:t xml:space="preserve">Лист-згода в довільній формі з істотними умовами договору з підписом уповноваженої особи учасника та завірений печаткою* та  підписаний уповноваженою особою учасника та завірений печаткою* </w:t>
      </w:r>
      <w:proofErr w:type="spellStart"/>
      <w:r>
        <w:rPr>
          <w:color w:val="000000"/>
          <w:sz w:val="28"/>
          <w:szCs w:val="28"/>
        </w:rPr>
        <w:t>проєкт</w:t>
      </w:r>
      <w:proofErr w:type="spellEnd"/>
      <w:r>
        <w:rPr>
          <w:color w:val="000000"/>
          <w:sz w:val="28"/>
          <w:szCs w:val="28"/>
        </w:rPr>
        <w:t xml:space="preserve"> договору про закупівлю, наведений у Додатку 5 до оголошення. </w:t>
      </w:r>
    </w:p>
    <w:p w:rsidR="00FF4003" w:rsidRDefault="00FF4003" w:rsidP="00FF4003">
      <w:pPr>
        <w:ind w:firstLine="708"/>
        <w:jc w:val="both"/>
      </w:pPr>
      <w:r>
        <w:rPr>
          <w:sz w:val="28"/>
          <w:szCs w:val="28"/>
        </w:rPr>
        <w:lastRenderedPageBreak/>
        <w:t xml:space="preserve">13. </w:t>
      </w:r>
      <w:r>
        <w:rPr>
          <w:color w:val="000000"/>
          <w:sz w:val="28"/>
          <w:szCs w:val="28"/>
        </w:rPr>
        <w:t>Надання згоди на використання інформації на виконання вимог Закону України “Про захист персональних даних” (згідно Додатку 6 до оголошення).</w:t>
      </w:r>
    </w:p>
    <w:p w:rsidR="00FF4003" w:rsidRDefault="00FF4003" w:rsidP="00FF4003">
      <w:pPr>
        <w:ind w:firstLine="708"/>
        <w:jc w:val="both"/>
      </w:pPr>
      <w:r>
        <w:rPr>
          <w:color w:val="000000"/>
          <w:sz w:val="28"/>
          <w:szCs w:val="28"/>
        </w:rPr>
        <w:t xml:space="preserve">Відповідно до частини третьої статті 12 Закону під час використання електронної системи </w:t>
      </w:r>
      <w:proofErr w:type="spellStart"/>
      <w:r>
        <w:rPr>
          <w:color w:val="000000"/>
          <w:sz w:val="28"/>
          <w:szCs w:val="28"/>
        </w:rPr>
        <w:t>закупівель</w:t>
      </w:r>
      <w:proofErr w:type="spellEnd"/>
      <w:r>
        <w:rPr>
          <w:color w:val="000000"/>
          <w:sz w:val="28"/>
          <w:szCs w:val="28"/>
        </w:rPr>
        <w:t xml:space="preserve"> з метою подання пропозицій/пропозицій та їх оцінки документи та дані створюються та подаються з урахуванням вимог законів України </w:t>
      </w:r>
      <w:hyperlink r:id="rId14" w:history="1">
        <w:r>
          <w:rPr>
            <w:rStyle w:val="a4"/>
            <w:color w:val="000000"/>
            <w:sz w:val="28"/>
            <w:szCs w:val="28"/>
          </w:rPr>
          <w:t>"Про електронні документи та електронний документообіг"</w:t>
        </w:r>
      </w:hyperlink>
      <w:r>
        <w:rPr>
          <w:color w:val="000000"/>
          <w:sz w:val="28"/>
          <w:szCs w:val="28"/>
        </w:rPr>
        <w:t xml:space="preserve"> та </w:t>
      </w:r>
      <w:hyperlink r:id="rId15" w:history="1">
        <w:r>
          <w:rPr>
            <w:rStyle w:val="a4"/>
            <w:color w:val="000000"/>
            <w:sz w:val="28"/>
            <w:szCs w:val="28"/>
          </w:rPr>
          <w:t>"Про електронні довірчі послуги"</w:t>
        </w:r>
      </w:hyperlink>
      <w:r>
        <w:rPr>
          <w:color w:val="000000"/>
          <w:sz w:val="28"/>
          <w:szCs w:val="28"/>
        </w:rPr>
        <w:t>.</w:t>
      </w:r>
    </w:p>
    <w:p w:rsidR="00FF4003" w:rsidRDefault="00FF4003" w:rsidP="00FF4003">
      <w:pPr>
        <w:ind w:firstLine="708"/>
        <w:jc w:val="both"/>
      </w:pPr>
      <w:r>
        <w:rPr>
          <w:sz w:val="28"/>
          <w:szCs w:val="28"/>
        </w:rPr>
        <w:t xml:space="preserve">Всі документи пропозиції подаються в електронному вигляді через електронну систему </w:t>
      </w:r>
      <w:proofErr w:type="spellStart"/>
      <w:r>
        <w:rPr>
          <w:sz w:val="28"/>
          <w:szCs w:val="28"/>
        </w:rPr>
        <w:t>закупівель</w:t>
      </w:r>
      <w:proofErr w:type="spellEnd"/>
      <w:r>
        <w:rPr>
          <w:sz w:val="28"/>
          <w:szCs w:val="28"/>
        </w:rPr>
        <w:t xml:space="preserve"> шляхом завантаження сканованих документів або електронних документів в електронну систему </w:t>
      </w:r>
      <w:proofErr w:type="spellStart"/>
      <w:r>
        <w:rPr>
          <w:sz w:val="28"/>
          <w:szCs w:val="28"/>
        </w:rPr>
        <w:t>закупівель</w:t>
      </w:r>
      <w:proofErr w:type="spellEnd"/>
      <w:r>
        <w:rPr>
          <w:sz w:val="28"/>
          <w:szCs w:val="28"/>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 Документи, які не будуть чітко відображені, розглядатися не будуть і такі пропозиції будуть відхилятись.</w:t>
      </w:r>
    </w:p>
    <w:p w:rsidR="00FF4003" w:rsidRDefault="00FF4003" w:rsidP="00FF4003">
      <w:pPr>
        <w:pStyle w:val="a5"/>
        <w:widowControl w:val="0"/>
        <w:tabs>
          <w:tab w:val="left" w:pos="0"/>
        </w:tabs>
        <w:spacing w:before="0" w:after="0"/>
        <w:jc w:val="both"/>
      </w:pPr>
      <w:r>
        <w:rPr>
          <w:sz w:val="28"/>
          <w:szCs w:val="28"/>
        </w:rPr>
        <w:tab/>
        <w:t>Учасник повинен розмістити всі документи, передбачені в оголошенні (додатках до оголошення)  до кінцевого строку подання пропозицій.</w:t>
      </w:r>
    </w:p>
    <w:p w:rsidR="00FF4003" w:rsidRDefault="00FF4003" w:rsidP="00FF4003">
      <w:pPr>
        <w:pStyle w:val="a5"/>
        <w:widowControl w:val="0"/>
        <w:tabs>
          <w:tab w:val="left" w:pos="0"/>
        </w:tabs>
        <w:spacing w:before="0" w:after="0"/>
        <w:jc w:val="both"/>
      </w:pPr>
      <w:r>
        <w:rPr>
          <w:sz w:val="28"/>
          <w:szCs w:val="28"/>
        </w:rPr>
        <w:tab/>
        <w:t>Документи, які складаються Учасником, повинні бути сформовані станом не раніше дати оголошення цієї закупівлі. Документи, які складаються Учасником в довільній формі, повинні мати такі обов’язкові реквізити: назву Учасника; назву виду документа; дату складання; реєстраційний номер; текст документа; підпис уповноваженої особи Учасника та завірена печаткою*.</w:t>
      </w:r>
    </w:p>
    <w:p w:rsidR="00FF4003" w:rsidRDefault="00FF4003" w:rsidP="00FF4003">
      <w:pPr>
        <w:pStyle w:val="a5"/>
        <w:widowControl w:val="0"/>
        <w:tabs>
          <w:tab w:val="left" w:pos="0"/>
        </w:tabs>
        <w:spacing w:before="0" w:after="0"/>
        <w:jc w:val="both"/>
      </w:pPr>
      <w:r>
        <w:rPr>
          <w:sz w:val="28"/>
          <w:szCs w:val="28"/>
        </w:rPr>
        <w:tab/>
        <w:t>Допущення  учасником формальних (несуттєвих) помилок не призведе до відхилення пропозиції.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зазначення неповної інформації в певному документі, у разі, якщо така інформація повністю відображена в іншому документі, що надано у складі пропозиції.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оголошення (додатків до оголошення), та за умови наявності такої інформації в повному об’ємі у змісті іншого документу, наданого у складі пропозиції тощо.</w:t>
      </w:r>
    </w:p>
    <w:p w:rsidR="00FF4003" w:rsidRDefault="00FF4003" w:rsidP="00FF4003">
      <w:pPr>
        <w:ind w:firstLine="708"/>
        <w:jc w:val="both"/>
      </w:pPr>
      <w:r>
        <w:rPr>
          <w:sz w:val="20"/>
          <w:szCs w:val="20"/>
        </w:rPr>
        <w:t>* 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w:t>
      </w:r>
    </w:p>
    <w:p w:rsidR="00FF4003" w:rsidRDefault="00FF4003" w:rsidP="00FF4003">
      <w:pPr>
        <w:ind w:firstLine="708"/>
        <w:jc w:val="both"/>
        <w:rPr>
          <w:sz w:val="20"/>
          <w:szCs w:val="20"/>
        </w:rPr>
      </w:pPr>
    </w:p>
    <w:p w:rsidR="00FF4003" w:rsidRDefault="00FF4003" w:rsidP="00FF4003">
      <w:pPr>
        <w:pageBreakBefore/>
        <w:spacing w:after="200" w:line="276" w:lineRule="auto"/>
        <w:jc w:val="right"/>
      </w:pPr>
      <w:r>
        <w:rPr>
          <w:b/>
          <w:spacing w:val="-3"/>
          <w:sz w:val="20"/>
          <w:szCs w:val="20"/>
        </w:rPr>
        <w:lastRenderedPageBreak/>
        <w:t>Додаток  5 до оголошення</w:t>
      </w: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pStyle w:val="1"/>
        <w:spacing w:line="240" w:lineRule="auto"/>
        <w:jc w:val="center"/>
      </w:pPr>
      <w:r>
        <w:rPr>
          <w:rFonts w:ascii="Times New Roman" w:eastAsia="Times New Roman" w:hAnsi="Times New Roman" w:cs="Times New Roman"/>
          <w:b/>
          <w:color w:val="000000"/>
          <w:sz w:val="24"/>
          <w:szCs w:val="24"/>
        </w:rPr>
        <w:t>Лист – згода</w:t>
      </w:r>
    </w:p>
    <w:p w:rsidR="00FF4003" w:rsidRDefault="00FF4003" w:rsidP="00FF4003">
      <w:pPr>
        <w:pStyle w:val="1"/>
        <w:spacing w:line="240" w:lineRule="auto"/>
        <w:jc w:val="center"/>
      </w:pPr>
      <w:r>
        <w:rPr>
          <w:rFonts w:ascii="Times New Roman" w:eastAsia="Times New Roman" w:hAnsi="Times New Roman" w:cs="Times New Roman"/>
          <w:b/>
          <w:color w:val="000000"/>
          <w:sz w:val="24"/>
          <w:szCs w:val="24"/>
        </w:rPr>
        <w:t>на обробку персональних даних</w:t>
      </w:r>
    </w:p>
    <w:p w:rsidR="00FF4003" w:rsidRDefault="00FF4003" w:rsidP="00FF4003">
      <w:pPr>
        <w:pStyle w:val="1"/>
        <w:widowControl w:val="0"/>
        <w:spacing w:line="240" w:lineRule="auto"/>
        <w:ind w:firstLine="425"/>
        <w:jc w:val="both"/>
      </w:pPr>
      <w:r>
        <w:rPr>
          <w:rFonts w:ascii="Times New Roman" w:eastAsia="Times New Roman" w:hAnsi="Times New Roman" w:cs="Times New Roman"/>
          <w:color w:val="000000"/>
          <w:sz w:val="24"/>
          <w:szCs w:val="24"/>
        </w:rPr>
        <w:t xml:space="preserve">Я, ____________________________________________________,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FF4003" w:rsidRDefault="00FF4003" w:rsidP="00FF4003">
      <w:pPr>
        <w:pStyle w:val="1"/>
        <w:spacing w:line="240" w:lineRule="auto"/>
        <w:ind w:right="230"/>
      </w:pPr>
      <w:r>
        <w:rPr>
          <w:rFonts w:ascii="Times New Roman" w:eastAsia="Times New Roman" w:hAnsi="Times New Roman" w:cs="Times New Roman"/>
          <w:i/>
          <w:color w:val="000000"/>
          <w:sz w:val="24"/>
          <w:szCs w:val="24"/>
        </w:rPr>
        <w:t xml:space="preserve">                                                                                        ________________</w:t>
      </w:r>
    </w:p>
    <w:p w:rsidR="00FF4003" w:rsidRDefault="00FF4003" w:rsidP="00FF4003">
      <w:pPr>
        <w:pStyle w:val="1"/>
        <w:spacing w:line="240" w:lineRule="auto"/>
        <w:ind w:right="230"/>
      </w:pPr>
      <w:r>
        <w:rPr>
          <w:rFonts w:ascii="Times New Roman" w:eastAsia="Times New Roman" w:hAnsi="Times New Roman" w:cs="Times New Roman"/>
          <w:i/>
          <w:color w:val="000000"/>
          <w:sz w:val="24"/>
          <w:szCs w:val="24"/>
        </w:rPr>
        <w:t xml:space="preserve">  (Посада)</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(Підпис, </w:t>
      </w:r>
      <w:r>
        <w:rPr>
          <w:rFonts w:ascii="Times New Roman" w:eastAsia="Times New Roman" w:hAnsi="Times New Roman" w:cs="Times New Roman"/>
          <w:color w:val="000000"/>
          <w:sz w:val="24"/>
          <w:szCs w:val="24"/>
        </w:rPr>
        <w:t>М.П.</w:t>
      </w: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(ПІБ)</w:t>
      </w:r>
    </w:p>
    <w:p w:rsidR="00FF4003" w:rsidRDefault="00FF4003" w:rsidP="00FF4003">
      <w:pPr>
        <w:keepLines/>
        <w:autoSpaceDE w:val="0"/>
        <w:jc w:val="right"/>
        <w:rPr>
          <w:b/>
          <w:color w:val="000000"/>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FF4003" w:rsidRDefault="00FF4003" w:rsidP="00FF4003">
      <w:pPr>
        <w:keepLines/>
        <w:autoSpaceDE w:val="0"/>
        <w:jc w:val="right"/>
        <w:rPr>
          <w:b/>
          <w:spacing w:val="-3"/>
          <w:sz w:val="20"/>
          <w:szCs w:val="20"/>
        </w:rPr>
      </w:pPr>
    </w:p>
    <w:p w:rsidR="003246EB" w:rsidRDefault="00EA306D"/>
    <w:sectPr w:rsidR="003246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3261" w:hanging="72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03"/>
    <w:rsid w:val="00446F53"/>
    <w:rsid w:val="0045137E"/>
    <w:rsid w:val="00EA306D"/>
    <w:rsid w:val="00FF40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03"/>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semiHidden/>
    <w:unhideWhenUsed/>
    <w:qFormat/>
    <w:rsid w:val="00FF4003"/>
    <w:pPr>
      <w:tabs>
        <w:tab w:val="num" w:pos="360"/>
      </w:tabs>
      <w:spacing w:before="280" w:after="280"/>
      <w:outlineLvl w:val="2"/>
    </w:pPr>
    <w:rPr>
      <w:b/>
      <w:bCs/>
      <w:sz w:val="27"/>
      <w:szCs w:val="27"/>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FF4003"/>
    <w:rPr>
      <w:rFonts w:ascii="Times New Roman" w:eastAsia="Times New Roman" w:hAnsi="Times New Roman" w:cs="Times New Roman"/>
      <w:b/>
      <w:bCs/>
      <w:sz w:val="27"/>
      <w:szCs w:val="27"/>
      <w:lang w:val="x-none" w:eastAsia="zh-CN"/>
    </w:rPr>
  </w:style>
  <w:style w:type="character" w:styleId="a4">
    <w:name w:val="Hyperlink"/>
    <w:semiHidden/>
    <w:unhideWhenUsed/>
    <w:rsid w:val="00FF4003"/>
    <w:rPr>
      <w:color w:val="0000FF"/>
      <w:u w:val="single"/>
    </w:rPr>
  </w:style>
  <w:style w:type="paragraph" w:styleId="a5">
    <w:name w:val="Normal (Web)"/>
    <w:basedOn w:val="a"/>
    <w:semiHidden/>
    <w:unhideWhenUsed/>
    <w:rsid w:val="00FF4003"/>
    <w:pPr>
      <w:spacing w:before="280" w:after="280"/>
    </w:pPr>
    <w:rPr>
      <w:color w:val="000000"/>
      <w:lang w:val="x-none"/>
    </w:rPr>
  </w:style>
  <w:style w:type="paragraph" w:styleId="a6">
    <w:name w:val="No Spacing"/>
    <w:qFormat/>
    <w:rsid w:val="00FF4003"/>
    <w:pPr>
      <w:suppressAutoHyphens/>
      <w:spacing w:after="0" w:line="240" w:lineRule="auto"/>
    </w:pPr>
    <w:rPr>
      <w:rFonts w:ascii="Calibri" w:eastAsia="Calibri" w:hAnsi="Calibri" w:cs="Calibri"/>
      <w:color w:val="00000A"/>
      <w:kern w:val="2"/>
      <w:lang w:eastAsia="zh-CN"/>
    </w:rPr>
  </w:style>
  <w:style w:type="paragraph" w:customStyle="1" w:styleId="WW-">
    <w:name w:val="WW-Базовый"/>
    <w:rsid w:val="00FF4003"/>
    <w:pPr>
      <w:suppressAutoHyphens/>
      <w:spacing w:after="0" w:line="240" w:lineRule="auto"/>
    </w:pPr>
    <w:rPr>
      <w:rFonts w:ascii="Times New Roman" w:eastAsia="Times New Roman" w:hAnsi="Times New Roman" w:cs="Times New Roman"/>
      <w:color w:val="00000A"/>
      <w:kern w:val="2"/>
      <w:sz w:val="20"/>
      <w:szCs w:val="20"/>
      <w:lang w:eastAsia="zh-CN"/>
    </w:rPr>
  </w:style>
  <w:style w:type="paragraph" w:customStyle="1" w:styleId="1">
    <w:name w:val="Звичайний1"/>
    <w:rsid w:val="00FF4003"/>
    <w:pPr>
      <w:suppressAutoHyphens/>
      <w:spacing w:after="0"/>
    </w:pPr>
    <w:rPr>
      <w:rFonts w:ascii="Arial" w:eastAsia="Arial" w:hAnsi="Arial" w:cs="Arial"/>
      <w:lang w:eastAsia="zh-CN"/>
    </w:rPr>
  </w:style>
  <w:style w:type="paragraph" w:customStyle="1" w:styleId="LO-normal">
    <w:name w:val="LO-normal"/>
    <w:rsid w:val="00FF4003"/>
    <w:pPr>
      <w:suppressAutoHyphens/>
      <w:spacing w:after="0"/>
    </w:pPr>
    <w:rPr>
      <w:rFonts w:ascii="Arial" w:eastAsia="Arial" w:hAnsi="Arial" w:cs="Arial"/>
      <w:color w:val="000000"/>
      <w:lang w:eastAsia="zh-CN"/>
    </w:rPr>
  </w:style>
  <w:style w:type="paragraph" w:styleId="a0">
    <w:name w:val="Body Text"/>
    <w:basedOn w:val="a"/>
    <w:link w:val="a7"/>
    <w:uiPriority w:val="99"/>
    <w:semiHidden/>
    <w:unhideWhenUsed/>
    <w:rsid w:val="00FF4003"/>
    <w:pPr>
      <w:spacing w:after="120"/>
    </w:pPr>
  </w:style>
  <w:style w:type="character" w:customStyle="1" w:styleId="a7">
    <w:name w:val="Основний текст Знак"/>
    <w:basedOn w:val="a1"/>
    <w:link w:val="a0"/>
    <w:uiPriority w:val="99"/>
    <w:semiHidden/>
    <w:rsid w:val="00FF4003"/>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03"/>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semiHidden/>
    <w:unhideWhenUsed/>
    <w:qFormat/>
    <w:rsid w:val="00FF4003"/>
    <w:pPr>
      <w:tabs>
        <w:tab w:val="num" w:pos="360"/>
      </w:tabs>
      <w:spacing w:before="280" w:after="280"/>
      <w:outlineLvl w:val="2"/>
    </w:pPr>
    <w:rPr>
      <w:b/>
      <w:bCs/>
      <w:sz w:val="27"/>
      <w:szCs w:val="27"/>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FF4003"/>
    <w:rPr>
      <w:rFonts w:ascii="Times New Roman" w:eastAsia="Times New Roman" w:hAnsi="Times New Roman" w:cs="Times New Roman"/>
      <w:b/>
      <w:bCs/>
      <w:sz w:val="27"/>
      <w:szCs w:val="27"/>
      <w:lang w:val="x-none" w:eastAsia="zh-CN"/>
    </w:rPr>
  </w:style>
  <w:style w:type="character" w:styleId="a4">
    <w:name w:val="Hyperlink"/>
    <w:semiHidden/>
    <w:unhideWhenUsed/>
    <w:rsid w:val="00FF4003"/>
    <w:rPr>
      <w:color w:val="0000FF"/>
      <w:u w:val="single"/>
    </w:rPr>
  </w:style>
  <w:style w:type="paragraph" w:styleId="a5">
    <w:name w:val="Normal (Web)"/>
    <w:basedOn w:val="a"/>
    <w:semiHidden/>
    <w:unhideWhenUsed/>
    <w:rsid w:val="00FF4003"/>
    <w:pPr>
      <w:spacing w:before="280" w:after="280"/>
    </w:pPr>
    <w:rPr>
      <w:color w:val="000000"/>
      <w:lang w:val="x-none"/>
    </w:rPr>
  </w:style>
  <w:style w:type="paragraph" w:styleId="a6">
    <w:name w:val="No Spacing"/>
    <w:qFormat/>
    <w:rsid w:val="00FF4003"/>
    <w:pPr>
      <w:suppressAutoHyphens/>
      <w:spacing w:after="0" w:line="240" w:lineRule="auto"/>
    </w:pPr>
    <w:rPr>
      <w:rFonts w:ascii="Calibri" w:eastAsia="Calibri" w:hAnsi="Calibri" w:cs="Calibri"/>
      <w:color w:val="00000A"/>
      <w:kern w:val="2"/>
      <w:lang w:eastAsia="zh-CN"/>
    </w:rPr>
  </w:style>
  <w:style w:type="paragraph" w:customStyle="1" w:styleId="WW-">
    <w:name w:val="WW-Базовый"/>
    <w:rsid w:val="00FF4003"/>
    <w:pPr>
      <w:suppressAutoHyphens/>
      <w:spacing w:after="0" w:line="240" w:lineRule="auto"/>
    </w:pPr>
    <w:rPr>
      <w:rFonts w:ascii="Times New Roman" w:eastAsia="Times New Roman" w:hAnsi="Times New Roman" w:cs="Times New Roman"/>
      <w:color w:val="00000A"/>
      <w:kern w:val="2"/>
      <w:sz w:val="20"/>
      <w:szCs w:val="20"/>
      <w:lang w:eastAsia="zh-CN"/>
    </w:rPr>
  </w:style>
  <w:style w:type="paragraph" w:customStyle="1" w:styleId="1">
    <w:name w:val="Звичайний1"/>
    <w:rsid w:val="00FF4003"/>
    <w:pPr>
      <w:suppressAutoHyphens/>
      <w:spacing w:after="0"/>
    </w:pPr>
    <w:rPr>
      <w:rFonts w:ascii="Arial" w:eastAsia="Arial" w:hAnsi="Arial" w:cs="Arial"/>
      <w:lang w:eastAsia="zh-CN"/>
    </w:rPr>
  </w:style>
  <w:style w:type="paragraph" w:customStyle="1" w:styleId="LO-normal">
    <w:name w:val="LO-normal"/>
    <w:rsid w:val="00FF4003"/>
    <w:pPr>
      <w:suppressAutoHyphens/>
      <w:spacing w:after="0"/>
    </w:pPr>
    <w:rPr>
      <w:rFonts w:ascii="Arial" w:eastAsia="Arial" w:hAnsi="Arial" w:cs="Arial"/>
      <w:color w:val="000000"/>
      <w:lang w:eastAsia="zh-CN"/>
    </w:rPr>
  </w:style>
  <w:style w:type="paragraph" w:styleId="a0">
    <w:name w:val="Body Text"/>
    <w:basedOn w:val="a"/>
    <w:link w:val="a7"/>
    <w:uiPriority w:val="99"/>
    <w:semiHidden/>
    <w:unhideWhenUsed/>
    <w:rsid w:val="00FF4003"/>
    <w:pPr>
      <w:spacing w:after="120"/>
    </w:pPr>
  </w:style>
  <w:style w:type="character" w:customStyle="1" w:styleId="a7">
    <w:name w:val="Основний текст Знак"/>
    <w:basedOn w:val="a1"/>
    <w:link w:val="a0"/>
    <w:uiPriority w:val="99"/>
    <w:semiHidden/>
    <w:rsid w:val="00FF400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13948</Words>
  <Characters>7951</Characters>
  <Application>Microsoft Office Word</Application>
  <DocSecurity>0</DocSecurity>
  <Lines>66</Lines>
  <Paragraphs>43</Paragraphs>
  <ScaleCrop>false</ScaleCrop>
  <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2021-08-24T11:51:00Z</dcterms:created>
  <dcterms:modified xsi:type="dcterms:W3CDTF">2022-01-17T13:59:00Z</dcterms:modified>
</cp:coreProperties>
</file>