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14591" w:rsidRDefault="002408E5" w:rsidP="002408E5">
      <w:pPr>
        <w:spacing w:after="0" w:line="276" w:lineRule="auto"/>
        <w:ind w:left="7820" w:firstLine="100"/>
        <w:jc w:val="both"/>
        <w:rPr>
          <w:rFonts w:ascii="Times New Roman" w:eastAsia="Times New Roman" w:hAnsi="Times New Roman" w:cs="Times New Roman"/>
          <w:b/>
          <w:color w:val="FF0000"/>
          <w:lang w:val="uk-UA"/>
        </w:rPr>
      </w:pPr>
      <w:r w:rsidRPr="00B14591">
        <w:rPr>
          <w:rFonts w:ascii="Times New Roman" w:eastAsia="Times New Roman" w:hAnsi="Times New Roman" w:cs="Times New Roman"/>
          <w:b/>
          <w:color w:val="FF0000"/>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1BE7F824" w14:textId="51BBC299" w:rsidR="00B14591" w:rsidRDefault="005165E3" w:rsidP="005165E3">
      <w:pPr>
        <w:spacing w:after="0" w:line="240" w:lineRule="auto"/>
        <w:ind w:firstLine="708"/>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B14591" w:rsidRPr="00B14591">
        <w:rPr>
          <w:rFonts w:ascii="Times New Roman" w:eastAsia="Times New Roman" w:hAnsi="Times New Roman" w:cs="Times New Roman"/>
          <w:lang w:val="uk-UA" w:eastAsia="x-none"/>
        </w:rPr>
        <w:t xml:space="preserve">Згідно з Державним класифікатором продукції та послуг ДК 021:2015: </w:t>
      </w:r>
      <w:r w:rsidR="00626EED">
        <w:rPr>
          <w:rFonts w:ascii="Times New Roman" w:eastAsia="Times New Roman" w:hAnsi="Times New Roman" w:cs="Times New Roman"/>
          <w:lang w:val="uk-UA" w:eastAsia="x-none"/>
        </w:rPr>
        <w:t>44510000-8</w:t>
      </w:r>
      <w:r w:rsidR="00B14591" w:rsidRPr="00B14591">
        <w:rPr>
          <w:rFonts w:ascii="Times New Roman" w:eastAsia="Times New Roman" w:hAnsi="Times New Roman" w:cs="Times New Roman"/>
          <w:lang w:val="uk-UA" w:eastAsia="x-none"/>
        </w:rPr>
        <w:t xml:space="preserve"> </w:t>
      </w:r>
      <w:r w:rsidR="00626EED">
        <w:rPr>
          <w:rFonts w:ascii="Times New Roman" w:eastAsia="Times New Roman" w:hAnsi="Times New Roman" w:cs="Times New Roman"/>
          <w:lang w:val="uk-UA" w:eastAsia="x-none"/>
        </w:rPr>
        <w:t>Знаряддя</w:t>
      </w:r>
      <w:r w:rsidR="00A30A58" w:rsidRPr="00A30A58">
        <w:rPr>
          <w:rFonts w:ascii="Times New Roman" w:eastAsia="Times New Roman" w:hAnsi="Times New Roman" w:cs="Times New Roman"/>
          <w:lang w:val="uk-UA" w:eastAsia="x-none"/>
        </w:rPr>
        <w:t xml:space="preserve"> </w:t>
      </w:r>
      <w:r w:rsidR="00B14591" w:rsidRPr="00B14591">
        <w:rPr>
          <w:rFonts w:ascii="Times New Roman" w:eastAsia="Times New Roman" w:hAnsi="Times New Roman" w:cs="Times New Roman"/>
          <w:lang w:val="uk-UA" w:eastAsia="x-none"/>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w:t>
      </w:r>
      <w:r w:rsidR="00B14591">
        <w:rPr>
          <w:rFonts w:ascii="Times New Roman" w:eastAsia="Times New Roman" w:hAnsi="Times New Roman" w:cs="Times New Roman"/>
          <w:b/>
          <w:lang w:val="uk-UA" w:eastAsia="ru-RU"/>
        </w:rPr>
        <w:t>_</w:t>
      </w:r>
      <w:r w:rsidR="00A30A58">
        <w:rPr>
          <w:rFonts w:ascii="Times New Roman" w:eastAsia="Times New Roman" w:hAnsi="Times New Roman" w:cs="Times New Roman"/>
          <w:b/>
          <w:lang w:val="uk-UA" w:eastAsia="ru-RU"/>
        </w:rPr>
        <w:t>______________</w:t>
      </w:r>
      <w:r w:rsidR="00B14591">
        <w:rPr>
          <w:rFonts w:ascii="Times New Roman" w:eastAsia="Times New Roman" w:hAnsi="Times New Roman" w:cs="Times New Roman"/>
          <w:b/>
          <w:lang w:val="uk-UA" w:eastAsia="ru-RU"/>
        </w:rPr>
        <w:t>__________</w:t>
      </w:r>
      <w:r w:rsidR="001F15F6" w:rsidRPr="002408E5">
        <w:rPr>
          <w:rFonts w:ascii="Times New Roman" w:eastAsia="Times New Roman" w:hAnsi="Times New Roman" w:cs="Times New Roman"/>
          <w:b/>
          <w:lang w:val="uk-UA" w:eastAsia="ru-RU"/>
        </w:rPr>
        <w:t>__________</w:t>
      </w:r>
      <w:r w:rsidRPr="002408E5">
        <w:rPr>
          <w:rFonts w:ascii="Times New Roman" w:eastAsia="Times New Roman" w:hAnsi="Times New Roman" w:cs="Times New Roman"/>
          <w:b/>
          <w:lang w:val="uk-UA" w:eastAsia="ru-RU"/>
        </w:rPr>
        <w:t xml:space="preserve"> </w:t>
      </w:r>
    </w:p>
    <w:p w14:paraId="00362646" w14:textId="74FCA8E3"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50A2413F"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B14591">
        <w:rPr>
          <w:rFonts w:ascii="Times New Roman" w:eastAsia="Times New Roman" w:hAnsi="Times New Roman" w:cs="Times New Roman"/>
          <w:b/>
          <w:lang w:val="uk-UA" w:eastAsia="ru-RU"/>
        </w:rPr>
        <w:t>1</w:t>
      </w:r>
      <w:r w:rsidR="006E3F8D">
        <w:rPr>
          <w:rFonts w:ascii="Times New Roman" w:eastAsia="Times New Roman" w:hAnsi="Times New Roman" w:cs="Times New Roman"/>
          <w:b/>
          <w:lang w:val="uk-UA" w:eastAsia="ru-RU"/>
        </w:rPr>
        <w:t>7</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5C0100D3"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B14591">
        <w:rPr>
          <w:rFonts w:ascii="Times New Roman" w:eastAsia="Times New Roman" w:hAnsi="Times New Roman" w:cs="Times New Roman"/>
          <w:sz w:val="24"/>
          <w:szCs w:val="26"/>
          <w:lang w:val="uk-UA" w:eastAsia="ru-RU"/>
        </w:rPr>
        <w:t>1</w:t>
      </w:r>
      <w:r w:rsidR="006E3F8D">
        <w:rPr>
          <w:rFonts w:ascii="Times New Roman" w:eastAsia="Times New Roman" w:hAnsi="Times New Roman" w:cs="Times New Roman"/>
          <w:sz w:val="24"/>
          <w:szCs w:val="26"/>
          <w:lang w:val="uk-UA" w:eastAsia="ru-RU"/>
        </w:rPr>
        <w:t>7</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5A0E73">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16E1" w14:textId="77777777" w:rsidR="005A0E73" w:rsidRDefault="005A0E73">
      <w:pPr>
        <w:spacing w:after="0" w:line="240" w:lineRule="auto"/>
      </w:pPr>
      <w:r>
        <w:separator/>
      </w:r>
    </w:p>
  </w:endnote>
  <w:endnote w:type="continuationSeparator" w:id="0">
    <w:p w14:paraId="48126DF7" w14:textId="77777777" w:rsidR="005A0E73" w:rsidRDefault="005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E6A7" w14:textId="77777777" w:rsidR="005A0E73" w:rsidRDefault="005A0E73">
      <w:pPr>
        <w:spacing w:after="0" w:line="240" w:lineRule="auto"/>
      </w:pPr>
      <w:r>
        <w:separator/>
      </w:r>
    </w:p>
  </w:footnote>
  <w:footnote w:type="continuationSeparator" w:id="0">
    <w:p w14:paraId="54E575E5" w14:textId="77777777" w:rsidR="005A0E73" w:rsidRDefault="005A0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80A7E"/>
    <w:rsid w:val="002B40F1"/>
    <w:rsid w:val="003D0A46"/>
    <w:rsid w:val="0040772C"/>
    <w:rsid w:val="00417EF4"/>
    <w:rsid w:val="00483A4C"/>
    <w:rsid w:val="005165E3"/>
    <w:rsid w:val="00584AD3"/>
    <w:rsid w:val="005A0E73"/>
    <w:rsid w:val="005D65F3"/>
    <w:rsid w:val="005E1620"/>
    <w:rsid w:val="005F3014"/>
    <w:rsid w:val="00626EED"/>
    <w:rsid w:val="006A2D70"/>
    <w:rsid w:val="006E3F8D"/>
    <w:rsid w:val="00885311"/>
    <w:rsid w:val="0089160F"/>
    <w:rsid w:val="00907AAF"/>
    <w:rsid w:val="00946D7A"/>
    <w:rsid w:val="009C6812"/>
    <w:rsid w:val="00A30A58"/>
    <w:rsid w:val="00AC76AD"/>
    <w:rsid w:val="00AE017E"/>
    <w:rsid w:val="00B14591"/>
    <w:rsid w:val="00B148AF"/>
    <w:rsid w:val="00B239AB"/>
    <w:rsid w:val="00B933BA"/>
    <w:rsid w:val="00C54E3A"/>
    <w:rsid w:val="00D00515"/>
    <w:rsid w:val="00D44B17"/>
    <w:rsid w:val="00DF0918"/>
    <w:rsid w:val="00E718A2"/>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11785</Words>
  <Characters>6718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6</cp:revision>
  <cp:lastPrinted>2023-06-08T09:08:00Z</cp:lastPrinted>
  <dcterms:created xsi:type="dcterms:W3CDTF">2024-03-12T08:53:00Z</dcterms:created>
  <dcterms:modified xsi:type="dcterms:W3CDTF">2024-03-14T13:38:00Z</dcterms:modified>
</cp:coreProperties>
</file>