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76" w:type="dxa"/>
        <w:tblLayout w:type="fixed"/>
        <w:tblCellMar>
          <w:top w:w="55" w:type="dxa"/>
          <w:start w:w="55" w:type="dxa"/>
          <w:bottom w:w="55" w:type="dxa"/>
          <w:end w:w="55" w:type="dxa"/>
        </w:tblCellMar>
      </w:tblPr>
      <w:tblGrid>
        <w:gridCol w:w="9638"/>
      </w:tblGrid>
      <w:tr>
        <w:trPr>
          <w:trHeight w:val="2040" w:hRule="atLeast"/>
        </w:trPr>
        <w:tc>
          <w:tcPr>
            <w:tcW w:w="9638" w:type="dxa"/>
            <w:tcBorders>
              <w:top w:val="dotted" w:sz="8" w:space="0" w:color="0000FF"/>
              <w:start w:val="dotted" w:sz="8" w:space="0" w:color="0000FF"/>
              <w:bottom w:val="dotted" w:sz="8" w:space="0" w:color="0000FF"/>
              <w:end w:val="dotted" w:sz="8" w:space="0" w:color="0000FF"/>
            </w:tcBorders>
          </w:tcPr>
          <w:p>
            <w:pPr>
              <w:pStyle w:val="Style17"/>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09"/>
          <w:tab w:val="left" w:pos="0" w:leader="none"/>
        </w:tabs>
        <w:bidi w:val="0"/>
        <w:spacing w:lineRule="auto" w:line="240" w:before="0" w:after="0"/>
        <w:ind w:hanging="0" w:start="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hanging="0" w:start="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bidi w:val="0"/>
        <w:spacing w:lineRule="auto" w:line="240" w:before="0" w:after="0"/>
        <w:ind w:hanging="0" w:start="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09"/>
          <w:tab w:val="left" w:pos="8120" w:leader="dot"/>
        </w:tabs>
        <w:bidi w:val="0"/>
        <w:spacing w:lineRule="auto" w:line="240" w:before="0" w:after="0"/>
        <w:ind w:hanging="0" w:start="-567" w:end="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star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____________2024  року</w:t>
      </w:r>
    </w:p>
    <w:p>
      <w:pPr>
        <w:pStyle w:val="Normal"/>
        <w:widowControl w:val="false"/>
        <w:bidi w:val="0"/>
        <w:spacing w:lineRule="auto" w:line="240" w:before="0" w:after="0"/>
        <w:jc w:val="star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hanging="0" w:start="30" w:end="0"/>
        <w:jc w:val="start"/>
        <w:rPr>
          <w:rFonts w:ascii="Times New Roman" w:hAnsi="Times New Roman"/>
          <w:sz w:val="24"/>
          <w:szCs w:val="24"/>
          <w:lang w:val="uk-UA"/>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 xml:space="preserve">(далі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bidi w:val="0"/>
        <w:spacing w:lineRule="auto" w:line="240" w:before="0" w:after="0"/>
        <w:ind w:hanging="0" w:start="30" w:end="0"/>
        <w:jc w:val="star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firstLine="567" w:start="0" w:end="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hanging="0" w:start="0" w:end="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b/>
          <w:bCs/>
          <w:sz w:val="24"/>
          <w:szCs w:val="24"/>
          <w:lang w:val="uk-UA" w:eastAsia="uk-UA"/>
        </w:rPr>
        <w:t>“Надання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color w:val="00000A"/>
          <w:sz w:val="24"/>
          <w:szCs w:val="24"/>
          <w:lang w:val="uk-UA" w:eastAsia="ru-RU"/>
        </w:rPr>
        <w:t xml:space="preserve">1.2. Кількість/обсяг послуг, </w:t>
      </w:r>
      <w:r>
        <w:rPr>
          <w:rFonts w:eastAsia="Times New Roman" w:cs="Mangal" w:ascii="Times New Roman" w:hAnsi="Times New Roman"/>
          <w:color w:val="00000A"/>
          <w:kern w:val="2"/>
          <w:sz w:val="24"/>
          <w:szCs w:val="24"/>
          <w:lang w:val="uk-UA" w:eastAsia="ru-RU" w:bidi="hi-IN"/>
        </w:rPr>
        <w:t>н</w:t>
      </w:r>
      <w:r>
        <w:rPr>
          <w:rFonts w:eastAsia="Times New Roman" w:ascii="Times New Roman" w:hAnsi="Times New Roman"/>
          <w:color w:val="00000A"/>
          <w:sz w:val="24"/>
          <w:szCs w:val="24"/>
          <w:lang w:val="uk-UA" w:eastAsia="ru-RU"/>
        </w:rPr>
        <w:t xml:space="preserve">айменування та перелік </w:t>
      </w:r>
      <w:r>
        <w:rPr>
          <w:rFonts w:eastAsia="Times New Roman" w:cs="Mangal" w:ascii="Times New Roman" w:hAnsi="Times New Roman"/>
          <w:color w:val="00000A"/>
          <w:kern w:val="2"/>
          <w:sz w:val="24"/>
          <w:szCs w:val="24"/>
          <w:lang w:val="uk-UA" w:eastAsia="ru-RU" w:bidi="hi-IN"/>
        </w:rPr>
        <w:t>п</w:t>
      </w:r>
      <w:r>
        <w:rPr>
          <w:rFonts w:eastAsia="Times New Roman" w:ascii="Times New Roman" w:hAnsi="Times New Roman"/>
          <w:color w:val="00000A"/>
          <w:sz w:val="24"/>
          <w:szCs w:val="24"/>
          <w:lang w:val="uk-UA" w:eastAsia="ru-RU"/>
        </w:rPr>
        <w:t xml:space="preserve">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Normal"/>
        <w:keepNext w:val="true"/>
        <w:widowControl w:val="false"/>
        <w:shd w:fill="FFFFFF" w:val="clear"/>
        <w:suppressAutoHyphens w:val="true"/>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b w:val="false"/>
          <w:bCs w:val="false"/>
          <w:color w:val="000000"/>
          <w:sz w:val="24"/>
          <w:szCs w:val="24"/>
          <w:lang w:val="uk-UA" w:eastAsia="ru-RU"/>
        </w:rPr>
        <w:t xml:space="preserve">1.3. </w:t>
      </w:r>
      <w:r>
        <w:rPr>
          <w:rFonts w:eastAsia="Times New Roman" w:cs="Times New Roman" w:ascii="Times New Roman" w:hAnsi="Times New Roman"/>
          <w:b w:val="false"/>
          <w:bCs w:val="false"/>
          <w:color w:val="000000"/>
          <w:sz w:val="24"/>
          <w:szCs w:val="24"/>
          <w:lang w:val="uk-UA" w:eastAsia="ru-RU"/>
        </w:rPr>
        <w:t>Послуги надаються відповідно до дислокації закладів освіти та сформованих узгоджених заявок щодо кількості дітей на харчування.</w:t>
      </w:r>
    </w:p>
    <w:p>
      <w:pPr>
        <w:pStyle w:val="Normal"/>
        <w:widowControl w:val="false"/>
        <w:shd w:fill="FFFFFF" w:val="clear"/>
        <w:suppressAutoHyphens w:val="true"/>
        <w:bidi w:val="0"/>
        <w:spacing w:lineRule="auto" w:line="240" w:before="0" w:after="0"/>
        <w:ind w:hanging="0" w:start="0" w:end="0"/>
        <w:jc w:val="both"/>
        <w:rPr>
          <w:rFonts w:ascii="Times New Roman" w:hAnsi="Times New Roman"/>
          <w:sz w:val="24"/>
          <w:szCs w:val="24"/>
          <w:lang w:val="uk-UA"/>
        </w:rPr>
      </w:pPr>
      <w:r>
        <w:rPr>
          <w:rFonts w:cs="Times New Roman" w:ascii="Times New Roman" w:hAnsi="Times New Roman"/>
          <w:sz w:val="24"/>
          <w:szCs w:val="24"/>
          <w:lang w:val="uk-UA"/>
        </w:rPr>
        <w:t>1.</w:t>
      </w:r>
      <w:r>
        <w:rPr>
          <w:rFonts w:eastAsia="SimSun" w:cs="Times New Roman" w:ascii="Times New Roman" w:hAnsi="Times New Roman"/>
          <w:color w:val="auto"/>
          <w:kern w:val="2"/>
          <w:sz w:val="24"/>
          <w:szCs w:val="24"/>
          <w:lang w:val="uk-UA" w:eastAsia="zh-CN" w:bidi="hi-IN"/>
        </w:rPr>
        <w:t>4</w:t>
      </w:r>
      <w:r>
        <w:rPr>
          <w:rFonts w:cs="Times New Roman" w:ascii="Times New Roman" w:hAnsi="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Normal"/>
        <w:widowControl w:val="false"/>
        <w:shd w:fill="FFFFFF" w:val="clear"/>
        <w:suppressAutoHyphens w:val="true"/>
        <w:bidi w:val="0"/>
        <w:spacing w:lineRule="auto" w:line="240" w:before="0" w:after="0"/>
        <w:ind w:hanging="0" w:start="0" w:end="0"/>
        <w:jc w:val="both"/>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ru-RU"/>
        </w:rPr>
        <w:t>1.</w:t>
      </w:r>
      <w:r>
        <w:rPr>
          <w:rFonts w:eastAsia="Times New Roman" w:cs="Times New Roman" w:ascii="Times New Roman" w:hAnsi="Times New Roman"/>
          <w:b w:val="false"/>
          <w:bCs w:val="false"/>
          <w:color w:val="000000"/>
          <w:kern w:val="2"/>
          <w:sz w:val="24"/>
          <w:szCs w:val="24"/>
          <w:lang w:val="uk-UA" w:eastAsia="ru-RU" w:bidi="hi-IN"/>
        </w:rPr>
        <w:t>5</w:t>
      </w:r>
      <w:r>
        <w:rPr>
          <w:rFonts w:eastAsia="Times New Roman" w:cs="Times New Roman" w:ascii="Times New Roman" w:hAnsi="Times New Roman"/>
          <w:b w:val="false"/>
          <w:bCs w:val="false"/>
          <w:color w:val="000000"/>
          <w:sz w:val="24"/>
          <w:szCs w:val="24"/>
          <w:lang w:val="uk-UA" w:eastAsia="ru-RU"/>
        </w:rPr>
        <w:t>. Договірні зобов’язання Замовника виникають при наявності відповідних бюджетних асигнувань.</w:t>
      </w:r>
    </w:p>
    <w:p>
      <w:pPr>
        <w:pStyle w:val="Normal"/>
        <w:widowControl w:val="false"/>
        <w:shd w:fill="FFFFFF" w:val="clear"/>
        <w:suppressAutoHyphens w:val="true"/>
        <w:bidi w:val="0"/>
        <w:spacing w:lineRule="auto" w:line="240" w:before="0" w:after="0"/>
        <w:ind w:hanging="0" w:start="0" w:end="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hd w:fill="FFFFFF" w:val="clear"/>
        <w:suppressAutoHyphens w:val="true"/>
        <w:bidi w:val="0"/>
        <w:spacing w:lineRule="auto" w:line="240" w:before="0" w:after="0"/>
        <w:ind w:hanging="0" w:start="0" w:end="0"/>
        <w:jc w:val="center"/>
        <w:rPr>
          <w:rFonts w:ascii="Times New Roman" w:hAnsi="Times New Roman"/>
          <w:sz w:val="24"/>
          <w:szCs w:val="24"/>
          <w:lang w:val="uk-UA"/>
        </w:rPr>
      </w:pPr>
      <w:r>
        <w:rPr>
          <w:rFonts w:eastAsia="Times New Roman" w:ascii="Times New Roman" w:hAnsi="Times New Roman"/>
          <w:b/>
          <w:bCs/>
          <w:color w:val="000000"/>
          <w:sz w:val="24"/>
          <w:szCs w:val="24"/>
          <w:lang w:val="uk-UA" w:eastAsia="ru-RU"/>
        </w:rPr>
        <w:t>II. ЯКІСТЬ  ПОСЛУГ</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2.2. Виконавець зобов’язується щоденно проводити бракераж страв у відповідності з діючим законодавством України.</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дітей, батьківського комітету щодо якості страв та їх асортименту.</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 xml:space="preserve">2.6. Виконавець зобов’язується під час надання послуг застосовувати заходи із захисту довкілля, передбачені законодавством України.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3.2. Будь-які розрахунки за цим Договором здійснюються у національній валюті України – гривні.</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3.3. Ціна цього Договору може бути зменшена за взаємною згодою Сторін.</w:t>
      </w:r>
    </w:p>
    <w:p>
      <w:pPr>
        <w:pStyle w:val="Normal"/>
        <w:widowControl w:val="false"/>
        <w:bidi w:val="0"/>
        <w:spacing w:lineRule="auto" w:line="240" w:before="0" w:after="0"/>
        <w:jc w:val="star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keepNext w:val="true"/>
        <w:widowControl w:val="false"/>
        <w:numPr>
          <w:ilvl w:val="0"/>
          <w:numId w:val="0"/>
        </w:numPr>
        <w:shd w:fill="FFFFFF" w:val="clear"/>
        <w:tabs>
          <w:tab w:val="clear" w:pos="709"/>
          <w:tab w:val="left" w:pos="10386" w:leader="dot"/>
        </w:tabs>
        <w:bidi w:val="0"/>
        <w:spacing w:lineRule="auto" w:line="240" w:before="0" w:after="0"/>
        <w:ind w:hanging="0" w:start="566" w:end="0"/>
        <w:jc w:val="center"/>
        <w:outlineLvl w:val="2"/>
        <w:rPr>
          <w:rFonts w:ascii="Times New Roman" w:hAnsi="Times New Roman" w:eastAsia="Times New Roman"/>
          <w:b/>
          <w:bCs/>
          <w:color w:val="000000"/>
          <w:sz w:val="24"/>
          <w:szCs w:val="24"/>
          <w:lang w:val="uk-UA" w:eastAsia="ru-RU"/>
        </w:rPr>
      </w:pPr>
      <w:bookmarkStart w:id="2" w:name="_Toc271040149"/>
      <w:bookmarkEnd w:id="2"/>
      <w:r>
        <w:rPr>
          <w:rFonts w:eastAsia="Times New Roman" w:ascii="Times New Roman" w:hAnsi="Times New Roman"/>
          <w:b/>
          <w:bCs/>
          <w:color w:val="000000"/>
          <w:sz w:val="24"/>
          <w:szCs w:val="24"/>
          <w:lang w:val="uk-UA" w:eastAsia="ru-RU"/>
        </w:rPr>
        <w:t>IV. ПОРЯДОК ЗДІЙСНЕННЯ ОПЛАТИ</w:t>
      </w:r>
    </w:p>
    <w:p>
      <w:pPr>
        <w:pStyle w:val="Normal"/>
        <w:bidi w:val="0"/>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4.3.</w:t>
      </w:r>
      <w:r>
        <w:rPr>
          <w:rFonts w:eastAsia="Times New Roman" w:cs="Arial" w:ascii="Times New Roman" w:hAnsi="Times New Roman"/>
          <w:sz w:val="24"/>
          <w:szCs w:val="24"/>
          <w:lang w:val="uk-UA" w:eastAsia="ru-RU"/>
        </w:rPr>
        <w:t xml:space="preserve"> Б</w:t>
      </w:r>
      <w:r>
        <w:rPr>
          <w:rFonts w:eastAsia="Times New Roman" w:ascii="Times New Roman" w:hAnsi="Times New Roman"/>
          <w:sz w:val="24"/>
          <w:szCs w:val="24"/>
          <w:lang w:val="uk-UA" w:eastAsia="ru-RU"/>
        </w:rPr>
        <w:t xml:space="preserve">юджетні зобов’язання беруться в межах бюджетних асигнувань встановлених кошторисом, та можуть </w:t>
      </w:r>
      <w:r>
        <w:rPr>
          <w:rFonts w:eastAsia="Times New Roman" w:cs="Mangal" w:ascii="Times New Roman" w:hAnsi="Times New Roman"/>
          <w:color w:val="auto"/>
          <w:kern w:val="2"/>
          <w:sz w:val="24"/>
          <w:szCs w:val="24"/>
          <w:lang w:val="uk-UA" w:eastAsia="ru-RU" w:bidi="hi-IN"/>
        </w:rPr>
        <w:t>коригу</w:t>
      </w:r>
      <w:r>
        <w:rPr>
          <w:rFonts w:eastAsia="Times New Roman" w:ascii="Times New Roman" w:hAnsi="Times New Roman"/>
          <w:sz w:val="24"/>
          <w:szCs w:val="24"/>
          <w:lang w:val="uk-UA" w:eastAsia="ru-RU"/>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bidi w:val="0"/>
        <w:spacing w:lineRule="auto" w:line="240" w:before="0" w:after="0"/>
        <w:jc w:val="center"/>
        <w:rPr>
          <w:rFonts w:ascii="Times New Roman" w:hAnsi="Times New Roman" w:eastAsia="Times New Roman"/>
          <w:b/>
          <w:bCs/>
          <w:sz w:val="24"/>
          <w:szCs w:val="24"/>
          <w:lang w:val="uk-UA" w:eastAsia="uk-UA"/>
        </w:rPr>
      </w:pPr>
      <w:bookmarkStart w:id="3" w:name="_Toc271040150"/>
      <w:bookmarkEnd w:id="3"/>
      <w:r>
        <w:rPr>
          <w:rFonts w:eastAsia="Times New Roman" w:ascii="Times New Roman" w:hAnsi="Times New Roman"/>
          <w:b/>
          <w:bCs/>
          <w:sz w:val="24"/>
          <w:szCs w:val="24"/>
          <w:lang w:val="uk-UA" w:eastAsia="uk-UA"/>
        </w:rPr>
        <w:t>V. НАДАННЯ ПОСЛУГ</w:t>
      </w:r>
    </w:p>
    <w:p>
      <w:pPr>
        <w:pStyle w:val="Normal"/>
        <w:bidi w:val="0"/>
        <w:spacing w:lineRule="auto" w:line="240" w:before="0" w:after="0"/>
        <w:jc w:val="star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5.1. Строки надання послуг: _______________________________________________________</w:t>
      </w:r>
    </w:p>
    <w:p>
      <w:pPr>
        <w:pStyle w:val="Normal"/>
        <w:bidi w:val="0"/>
        <w:spacing w:lineRule="auto" w:line="240" w:before="0" w:after="0"/>
        <w:jc w:val="start"/>
        <w:rPr>
          <w:rFonts w:ascii="Times New Roman" w:hAnsi="Times New Roman" w:eastAsia="Arial Unicode MS"/>
          <w:sz w:val="24"/>
          <w:szCs w:val="24"/>
          <w:lang w:val="uk-UA" w:eastAsia="uk-UA"/>
        </w:rPr>
      </w:pPr>
      <w:r>
        <w:rPr>
          <w:rFonts w:eastAsia="Arial Unicode MS" w:ascii="Times New Roman" w:hAnsi="Times New Roman"/>
          <w:sz w:val="24"/>
          <w:szCs w:val="24"/>
          <w:lang w:val="uk-UA" w:eastAsia="uk-UA"/>
        </w:rPr>
        <w:t>5.2. Місце  надання послуг : _______________________________________________________</w:t>
      </w:r>
    </w:p>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Виконавець надає Замовнику послуги відповідно до Специфікації та заявок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Обсяг послуги на кожен день визначається представником Виконавця за погодженням із представником Замовника (або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5</w:t>
      </w:r>
      <w:r>
        <w:rPr>
          <w:rFonts w:eastAsia="Times New Roman" w:ascii="Times New Roman" w:hAnsi="Times New Roman"/>
          <w:sz w:val="24"/>
          <w:szCs w:val="24"/>
          <w:lang w:val="uk-UA" w:eastAsia="ru-RU"/>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(або навчального закладу).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За результатами перевірки складається Акт про проведення перевірки, який підписується представниками обох Сторін.</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.2. Замовник з власної ініціативи має право проводити перевірки надання послуги за цим Договором (наприклад, але не виключно 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.3. Виконавець зобов’язаний підписати Акт, передбачений п. 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keepNext w:val="true"/>
        <w:widowControl w:val="false"/>
        <w:numPr>
          <w:ilvl w:val="0"/>
          <w:numId w:val="0"/>
        </w:numPr>
        <w:shd w:fill="FFFFFF" w:val="clear"/>
        <w:tabs>
          <w:tab w:val="clear" w:pos="709"/>
          <w:tab w:val="left" w:pos="9254" w:leader="dot"/>
        </w:tabs>
        <w:bidi w:val="0"/>
        <w:spacing w:lineRule="auto" w:line="240" w:before="0" w:after="0"/>
        <w:ind w:hanging="0" w:start="0" w:end="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center"/>
        <w:outlineLvl w:val="2"/>
        <w:rPr>
          <w:rFonts w:ascii="Times New Roman" w:hAnsi="Times New Roman" w:eastAsia="Times New Roman"/>
          <w:b/>
          <w:bCs/>
          <w:color w:val="000000"/>
          <w:sz w:val="24"/>
          <w:szCs w:val="24"/>
          <w:lang w:val="uk-UA" w:eastAsia="ru-RU"/>
        </w:rPr>
      </w:pPr>
      <w:bookmarkStart w:id="4" w:name="_Toc271040151"/>
      <w:bookmarkEnd w:id="4"/>
      <w:r>
        <w:rPr>
          <w:rFonts w:eastAsia="Times New Roman" w:ascii="Times New Roman" w:hAnsi="Times New Roman"/>
          <w:b/>
          <w:bCs/>
          <w:color w:val="000000"/>
          <w:sz w:val="24"/>
          <w:szCs w:val="24"/>
          <w:lang w:val="uk-UA" w:eastAsia="ru-RU"/>
        </w:rPr>
        <w:t>VI. ПРАВА ТА ОБОВ'ЯЗКИ СТОРІН</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6.1. Замовник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6.1.1. Своєчасно та в повному обсязі сплачувати за надані послуги відповідно до умов цього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6.1.2. Приймати надані послуги належної якості згідно з Актом приймання-передачі наданих послуг;</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 Замовник має право: </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6.2.2. Контролювати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6.2.4. Повернути рахунок Виконавцю без здійснення оплати в разі неналежного оформлення документів.</w:t>
      </w:r>
    </w:p>
    <w:p>
      <w:pPr>
        <w:pStyle w:val="Normal"/>
        <w:bidi w:val="0"/>
        <w:spacing w:lineRule="auto" w:line="240" w:before="0" w:after="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 xml:space="preserve">6.2.5. </w:t>
      </w:r>
      <w:r>
        <w:rPr>
          <w:rFonts w:eastAsia="Arial Unicode MS" w:ascii="Times New Roman" w:hAnsi="Times New Roman"/>
          <w:sz w:val="24"/>
          <w:szCs w:val="24"/>
          <w:lang w:val="uk-UA" w:eastAsia="ru-RU"/>
        </w:rPr>
        <w:t>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6</w:t>
      </w:r>
      <w:r>
        <w:rPr>
          <w:rFonts w:eastAsia="Times New Roman" w:cs="Times New Roman CYR" w:ascii="Times New Roman" w:hAnsi="Times New Roman"/>
          <w:sz w:val="24"/>
          <w:szCs w:val="24"/>
          <w:lang w:val="uk-UA" w:eastAsia="ru-RU"/>
        </w:rPr>
        <w:t>. Щоденно здійснювати контроль за якістю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7</w:t>
      </w:r>
      <w:r>
        <w:rPr>
          <w:rFonts w:eastAsia="Times New Roman" w:cs="Times New Roman CYR" w:ascii="Times New Roman" w:hAnsi="Times New Roman"/>
          <w:sz w:val="24"/>
          <w:szCs w:val="24"/>
          <w:lang w:val="uk-UA" w:eastAsia="ru-RU"/>
        </w:rPr>
        <w:t>. Проводити перевірки надання Виконавцем послуги з організації харчування дітей у частині якості та кількості надання послуги;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8</w:t>
      </w:r>
      <w:r>
        <w:rPr>
          <w:rFonts w:eastAsia="Times New Roman" w:cs="Times New Roman CYR" w:ascii="Times New Roman" w:hAnsi="Times New Roman"/>
          <w:sz w:val="24"/>
          <w:szCs w:val="24"/>
          <w:lang w:val="uk-UA" w:eastAsia="ru-RU"/>
        </w:rPr>
        <w:t>. Контролювати обсяги послуг, що надаються за цим Договором, у тому числі шляхом перевірки журналів обліку дітей, які харчуються;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10</w:t>
      </w:r>
      <w:r>
        <w:rPr>
          <w:rFonts w:eastAsia="Times New Roman" w:cs="Times New Roman CYR" w:ascii="Times New Roman" w:hAnsi="Times New Roman"/>
          <w:sz w:val="24"/>
          <w:szCs w:val="24"/>
          <w:lang w:val="uk-UA" w:eastAsia="ru-RU"/>
        </w:rPr>
        <w:t>.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11</w:t>
      </w:r>
      <w:r>
        <w:rPr>
          <w:rFonts w:eastAsia="Times New Roman" w:cs="Times New Roman CYR" w:ascii="Times New Roman" w:hAnsi="Times New Roman"/>
          <w:sz w:val="24"/>
          <w:szCs w:val="24"/>
          <w:lang w:val="uk-UA" w:eastAsia="ru-RU"/>
        </w:rPr>
        <w:t>.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12</w:t>
      </w:r>
      <w:r>
        <w:rPr>
          <w:rFonts w:eastAsia="Times New Roman" w:cs="Times New Roman CYR" w:ascii="Times New Roman" w:hAnsi="Times New Roman"/>
          <w:sz w:val="24"/>
          <w:szCs w:val="24"/>
          <w:lang w:val="uk-UA" w:eastAsia="ru-RU"/>
        </w:rPr>
        <w:t>. Вимагати надання послуг належної якості, що засвідчується відповідними документами (сертифікатами якості / посвідченнями про якість, сертифікатом відповідності, паспортом, ДСТУ, санітарно-епідеміологічними висновками,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13</w:t>
      </w:r>
      <w:r>
        <w:rPr>
          <w:rFonts w:eastAsia="Times New Roman" w:cs="Times New Roman CYR" w:ascii="Times New Roman" w:hAnsi="Times New Roman"/>
          <w:sz w:val="24"/>
          <w:szCs w:val="24"/>
          <w:lang w:val="uk-UA" w:eastAsia="ru-RU"/>
        </w:rPr>
        <w:t>.Вимагати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w:t>
      </w:r>
      <w:r>
        <w:rPr>
          <w:rFonts w:eastAsia="Arial Unicode MS" w:cs="Times New Roman CYR" w:ascii="Times New Roman" w:hAnsi="Times New Roman"/>
          <w:color w:val="auto"/>
          <w:kern w:val="2"/>
          <w:sz w:val="24"/>
          <w:szCs w:val="24"/>
          <w:lang w:val="uk-UA" w:eastAsia="ru-RU" w:bidi="hi-IN"/>
        </w:rPr>
        <w:t>14</w:t>
      </w:r>
      <w:r>
        <w:rPr>
          <w:rFonts w:eastAsia="Arial Unicode MS" w:cs="Times New Roman CYR" w:ascii="Times New Roman" w:hAnsi="Times New Roman"/>
          <w:sz w:val="24"/>
          <w:szCs w:val="24"/>
          <w:lang w:val="uk-UA" w:eastAsia="ru-RU"/>
        </w:rPr>
        <w:t xml:space="preserve">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Вносити зміни до цього Договору у випадках, передбачених законодавством та цим Договором, за погодженням з Виконавцем.</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 Виконавець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6.3.1. Забезпечити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6.3.2. Забезпечити надання послуг, якість яких відповідає умовам, установленим розділом II цього Договору.</w:t>
      </w:r>
    </w:p>
    <w:p>
      <w:pPr>
        <w:pStyle w:val="Normal"/>
        <w:bidi w:val="0"/>
        <w:spacing w:lineRule="auto" w:line="240" w:before="0" w:after="0"/>
        <w:jc w:val="both"/>
        <w:rPr>
          <w:rFonts w:ascii="Times New Roman" w:hAnsi="Times New Roman"/>
          <w:sz w:val="24"/>
          <w:szCs w:val="24"/>
          <w:lang w:val="uk-UA"/>
        </w:rPr>
      </w:pPr>
      <w:r>
        <w:rPr>
          <w:rFonts w:eastAsia="Arial Unicode MS" w:ascii="Times New Roman" w:hAnsi="Times New Roman"/>
          <w:sz w:val="24"/>
          <w:szCs w:val="24"/>
          <w:lang w:val="uk-UA" w:eastAsia="ru-RU"/>
        </w:rPr>
        <w:t xml:space="preserve">6.3.3. Продукти харчування, що використовуються для приготування та організації гарячого харчування учнів та вихованців </w:t>
      </w:r>
      <w:r>
        <w:rPr>
          <w:rFonts w:eastAsia="Arial Unicode MS" w:ascii="Times New Roman" w:hAnsi="Times New Roman"/>
          <w:sz w:val="24"/>
          <w:szCs w:val="24"/>
          <w:u w:val="single"/>
          <w:lang w:val="uk-UA" w:eastAsia="ru-RU"/>
        </w:rPr>
        <w:t>не повинні</w:t>
      </w:r>
      <w:r>
        <w:rPr>
          <w:rFonts w:eastAsia="Arial Unicode MS" w:ascii="Times New Roman" w:hAnsi="Times New Roman"/>
          <w:sz w:val="24"/>
          <w:szCs w:val="24"/>
          <w:lang w:val="uk-UA" w:eastAsia="ru-RU"/>
        </w:rPr>
        <w:t xml:space="preserve">  містити генетично модифікованих організмів (ГМО). На упаковках даних продуктів харчування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Етикетування  харчових  продуктів повинно відповідати  вимогам  Закону України «Про основні принципи та вимоги до безпечності та якості харчових продуктів» від 23.12.1997 № 771/97-ВР (зі змінами).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6</w:t>
      </w:r>
      <w:r>
        <w:rPr>
          <w:rFonts w:eastAsia="Arial Unicode MS" w:cs="Times New Roman CYR" w:ascii="Times New Roman" w:hAnsi="Times New Roman"/>
          <w:sz w:val="24"/>
          <w:szCs w:val="24"/>
          <w:lang w:val="uk-UA" w:eastAsia="ru-RU"/>
        </w:rPr>
        <w:t>. Під час надання послуг дотримуватись примірного меню на 10 днів, погодженого з територіальним органом Держпродспоживслужби та директором навчального закладу (Замовником може бути визначений інший алгоритм);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7</w:t>
      </w:r>
      <w:r>
        <w:rPr>
          <w:rFonts w:eastAsia="Arial Unicode MS" w:cs="Times New Roman CYR" w:ascii="Times New Roman" w:hAnsi="Times New Roman"/>
          <w:sz w:val="24"/>
          <w:szCs w:val="24"/>
          <w:lang w:val="uk-UA" w:eastAsia="ru-RU"/>
        </w:rPr>
        <w:t>. Дотримуватися норм харчування відповідно до вимог законодавства, яке регулює надання послуг громадського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8</w:t>
      </w:r>
      <w:r>
        <w:rPr>
          <w:rFonts w:eastAsia="Arial Unicode MS" w:cs="Times New Roman CYR" w:ascii="Times New Roman" w:hAnsi="Times New Roman"/>
          <w:sz w:val="24"/>
          <w:szCs w:val="24"/>
          <w:lang w:val="uk-UA" w:eastAsia="ru-RU"/>
        </w:rPr>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9</w:t>
      </w:r>
      <w:r>
        <w:rPr>
          <w:rFonts w:eastAsia="Arial Unicode MS" w:cs="Times New Roman CYR" w:ascii="Times New Roman" w:hAnsi="Times New Roman"/>
          <w:sz w:val="24"/>
          <w:szCs w:val="24"/>
          <w:lang w:val="uk-UA" w:eastAsia="ru-RU"/>
        </w:rPr>
        <w:t>. Спільно з Замовником (або дирекцією навчального закладу – визначається Замовником) щоденно оформляти акти реалізації страв;</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10</w:t>
      </w:r>
      <w:r>
        <w:rPr>
          <w:rFonts w:eastAsia="Arial Unicode MS" w:cs="Times New Roman CYR" w:ascii="Times New Roman" w:hAnsi="Times New Roman"/>
          <w:sz w:val="24"/>
          <w:szCs w:val="24"/>
          <w:lang w:val="uk-UA" w:eastAsia="ru-RU"/>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11</w:t>
      </w:r>
      <w:r>
        <w:rPr>
          <w:rFonts w:eastAsia="Arial Unicode MS" w:cs="Times New Roman CYR" w:ascii="Times New Roman" w:hAnsi="Times New Roman"/>
          <w:sz w:val="24"/>
          <w:szCs w:val="24"/>
          <w:lang w:val="uk-UA" w:eastAsia="ru-RU"/>
        </w:rPr>
        <w:t>. Мати спеціалізований персонал для забезпечення постачання якісної продукції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12</w:t>
      </w:r>
      <w:r>
        <w:rPr>
          <w:rFonts w:eastAsia="Arial Unicode MS" w:cs="Times New Roman CYR" w:ascii="Times New Roman" w:hAnsi="Times New Roman"/>
          <w:sz w:val="24"/>
          <w:szCs w:val="24"/>
          <w:lang w:val="uk-UA" w:eastAsia="ru-RU"/>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4</w:t>
      </w:r>
      <w:r>
        <w:rPr>
          <w:rFonts w:eastAsia="Arial Unicode MS" w:cs="Times New Roman CYR" w:ascii="Times New Roman" w:hAnsi="Times New Roman"/>
          <w:sz w:val="24"/>
          <w:szCs w:val="24"/>
          <w:lang w:val="uk-UA" w:eastAsia="ru-RU"/>
        </w:rPr>
        <w:t xml:space="preserve">. У разі зміни реквізитів повідомити Замовника письмово протягом </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xml:space="preserve"> робочих днів з дати їх зміни.</w:t>
      </w:r>
    </w:p>
    <w:p>
      <w:pPr>
        <w:pStyle w:val="1"/>
        <w:bidi w:val="0"/>
        <w:ind w:hanging="0"/>
        <w:jc w:val="start"/>
        <w:rPr>
          <w:color w:val="auto"/>
        </w:rPr>
      </w:pPr>
      <w:r>
        <w:rPr>
          <w:rFonts w:eastAsia="Arial Unicode MS" w:cs="Times New Roman CYR"/>
          <w:color w:val="auto"/>
          <w:sz w:val="24"/>
          <w:szCs w:val="24"/>
          <w:lang w:val="uk-UA" w:eastAsia="ru-RU"/>
        </w:rPr>
        <w:t>6.3.1</w:t>
      </w:r>
      <w:r>
        <w:rPr>
          <w:rFonts w:eastAsia="Arial Unicode MS" w:cs="Times New Roman CYR"/>
          <w:color w:val="auto"/>
          <w:kern w:val="2"/>
          <w:sz w:val="24"/>
          <w:szCs w:val="24"/>
          <w:lang w:val="uk-UA" w:eastAsia="ru-RU" w:bidi="hi-IN"/>
        </w:rPr>
        <w:t>5</w:t>
      </w:r>
      <w:r>
        <w:rPr>
          <w:rFonts w:eastAsia="Arial Unicode MS" w:cs="Times New Roman CYR"/>
          <w:color w:val="auto"/>
          <w:sz w:val="24"/>
          <w:szCs w:val="24"/>
          <w:lang w:val="uk-UA" w:eastAsia="ru-RU"/>
        </w:rPr>
        <w:t>.</w:t>
      </w:r>
      <w:r>
        <w:rPr>
          <w:color w:val="auto"/>
        </w:rPr>
        <w:t>Під час укладання цього Договору, Виконавець зобов'язаний передати Замовнику:</w:t>
      </w:r>
    </w:p>
    <w:p>
      <w:pPr>
        <w:pStyle w:val="1"/>
        <w:bidi w:val="0"/>
        <w:jc w:val="start"/>
        <w:rPr>
          <w:color w:val="auto"/>
        </w:rPr>
      </w:pPr>
      <w:r>
        <w:rPr>
          <w:color w:val="auto"/>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форма якого затверджена Наказом Міністерства економіки України від 21 січня 2022 року № 143-22 </w:t>
      </w:r>
    </w:p>
    <w:p>
      <w:pPr>
        <w:pStyle w:val="1"/>
        <w:bidi w:val="0"/>
        <w:jc w:val="start"/>
        <w:rPr>
          <w:color w:val="auto"/>
        </w:rPr>
      </w:pPr>
      <w:r>
        <w:rPr>
          <w:color w:val="auto"/>
        </w:rPr>
        <w:t>- акт складений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 року № 446.</w:t>
      </w:r>
    </w:p>
    <w:p>
      <w:pPr>
        <w:pStyle w:val="1"/>
        <w:bidi w:val="0"/>
        <w:jc w:val="start"/>
        <w:rPr>
          <w:color w:val="auto"/>
        </w:rPr>
      </w:pPr>
      <w:r>
        <w:rPr>
          <w:rFonts w:eastAsia="Arial Unicode MS" w:cs="Times New Roman CYR"/>
          <w:color w:val="auto"/>
          <w:sz w:val="24"/>
          <w:szCs w:val="24"/>
          <w:lang w:val="uk-UA" w:eastAsia="ru-RU"/>
        </w:rPr>
        <w:t>Акти за вказаними формами повинні бути без зауважень.</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 Виконавець має право: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6.4.1. Своєчасно та в повному обсязі отримувати плату за  надані послуги ;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6.4.2. На дострокове надання послуг за письмовим погодженням Замовника; </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both"/>
        <w:outlineLvl w:val="2"/>
        <w:rPr>
          <w:rFonts w:ascii="Times New Roman" w:hAnsi="Times New Roman"/>
          <w:sz w:val="24"/>
          <w:szCs w:val="24"/>
          <w:lang w:val="uk-UA"/>
        </w:rPr>
      </w:pPr>
      <w:r>
        <w:rPr>
          <w:rFonts w:eastAsia="Arial Unicode MS" w:ascii="Times New Roman" w:hAnsi="Times New Roman"/>
          <w:b w:val="false"/>
          <w:bCs w:val="false"/>
          <w:color w:val="000000"/>
          <w:sz w:val="24"/>
          <w:szCs w:val="24"/>
          <w:lang w:val="uk-UA" w:eastAsia="ru-RU"/>
        </w:rPr>
        <w:t xml:space="preserve">6.4.3. У разі невиконання зобов'язань Замовником Виконавець має право достроково розірвати цей Договір, повідомивши про це Замовника, </w:t>
      </w:r>
      <w:r>
        <w:rPr>
          <w:rFonts w:eastAsia="Arial Unicode MS" w:ascii="Times New Roman" w:hAnsi="Times New Roman"/>
          <w:b w:val="false"/>
          <w:bCs w:val="false"/>
          <w:color w:val="000000"/>
          <w:sz w:val="24"/>
          <w:szCs w:val="24"/>
          <w:u w:val="single"/>
          <w:lang w:val="uk-UA" w:eastAsia="ru-RU"/>
        </w:rPr>
        <w:t>письмово</w:t>
      </w:r>
      <w:r>
        <w:rPr>
          <w:rFonts w:eastAsia="Arial Unicode MS" w:ascii="Times New Roman" w:hAnsi="Times New Roman"/>
          <w:b w:val="false"/>
          <w:bCs w:val="false"/>
          <w:color w:val="000000"/>
          <w:sz w:val="24"/>
          <w:szCs w:val="24"/>
          <w:lang w:val="uk-UA" w:eastAsia="ru-RU"/>
        </w:rPr>
        <w:t xml:space="preserve">, заздалегідь у строк 30 календарних днів. </w:t>
      </w:r>
    </w:p>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bidi w:val="0"/>
        <w:spacing w:lineRule="auto" w:line="240" w:before="0" w:after="0"/>
        <w:jc w:val="center"/>
        <w:rPr>
          <w:rFonts w:ascii="Times New Roman" w:hAnsi="Times New Roman"/>
          <w:sz w:val="24"/>
          <w:szCs w:val="24"/>
          <w:lang w:val="uk-UA"/>
        </w:rPr>
      </w:pPr>
      <w:r>
        <w:rPr>
          <w:rFonts w:eastAsia="Times New Roman" w:ascii="Times New Roman" w:hAnsi="Times New Roman"/>
          <w:sz w:val="24"/>
          <w:szCs w:val="24"/>
          <w:lang w:val="uk-UA" w:eastAsia="ru-RU"/>
        </w:rPr>
        <w:t xml:space="preserve">      </w:t>
      </w:r>
      <w:r>
        <w:rPr>
          <w:rFonts w:eastAsia="Times New Roman" w:cs="Times New Roman CYR" w:ascii="Times New Roman" w:hAnsi="Times New Roman"/>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start="0" w:end="0"/>
        <w:jc w:val="star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Normal"/>
        <w:widowControl w:val="false"/>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Сплата пені та/або штрафу не звільняє Виконавця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24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Всі витрати пов’язані з поверненням / неприйняттям неякісної продукції (порцій) / Послуг, сплачуються Виконавцем.</w:t>
      </w:r>
    </w:p>
    <w:p>
      <w:pPr>
        <w:pStyle w:val="Normal"/>
        <w:widowControl w:val="false"/>
        <w:bidi w:val="0"/>
        <w:spacing w:lineRule="auto" w:line="24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Normal"/>
        <w:widowControl w:val="false"/>
        <w:bidi w:val="0"/>
        <w:spacing w:lineRule="auto" w:line="240" w:before="0" w:after="0"/>
        <w:ind w:hanging="0" w:start="0" w:end="0"/>
        <w:jc w:val="both"/>
        <w:rPr>
          <w:rFonts w:ascii="Times New Roman" w:hAnsi="Times New Roman"/>
          <w:sz w:val="24"/>
          <w:szCs w:val="24"/>
          <w:lang w:val="uk-UA"/>
        </w:rPr>
      </w:pPr>
      <w:r>
        <w:rPr>
          <w:rFonts w:eastAsia="Times New Roman" w:ascii="Times New Roman" w:hAnsi="Times New Roman"/>
          <w:sz w:val="24"/>
          <w:szCs w:val="24"/>
          <w:lang w:val="uk-UA" w:eastAsia="ru-RU"/>
        </w:rPr>
        <w:t>7.9.</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7.10. У відповідності зі статтею 236 Господарського кодексу України оперативно-господарські</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11</w:t>
      </w:r>
      <w:r>
        <w:rPr>
          <w:rFonts w:eastAsia="Times New Roman" w:ascii="Times New Roman" w:hAnsi="Times New Roman"/>
          <w:sz w:val="24"/>
          <w:szCs w:val="24"/>
          <w:lang w:val="uk-UA" w:eastAsia="ru-RU"/>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12</w:t>
      </w:r>
      <w:r>
        <w:rPr>
          <w:rFonts w:eastAsia="Times New Roman" w:ascii="Times New Roman" w:hAnsi="Times New Roman"/>
          <w:sz w:val="24"/>
          <w:szCs w:val="24"/>
          <w:lang w:val="uk-UA" w:eastAsia="ru-RU"/>
        </w:rPr>
        <w:t>. Виконавець зобов’язаний сплатити Замовнику штрафні санкції у строки та у порядку, визначеному законодавством.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13</w:t>
      </w:r>
      <w:r>
        <w:rPr>
          <w:rFonts w:eastAsia="Times New Roman" w:ascii="Times New Roman" w:hAnsi="Times New Roman"/>
          <w:sz w:val="24"/>
          <w:szCs w:val="24"/>
          <w:lang w:val="uk-UA" w:eastAsia="ru-RU"/>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14</w:t>
      </w:r>
      <w:r>
        <w:rPr>
          <w:rFonts w:eastAsia="Times New Roman" w:ascii="Times New Roman" w:hAnsi="Times New Roman"/>
          <w:sz w:val="24"/>
          <w:szCs w:val="24"/>
          <w:lang w:val="uk-UA" w:eastAsia="ru-RU"/>
        </w:rPr>
        <w:t>. Застосування штрафних санкцій не звільняє Виконавця від обов’язку виконання своїх зобов’язань за цим Договором.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15</w:t>
      </w:r>
      <w:r>
        <w:rPr>
          <w:rFonts w:eastAsia="Times New Roman" w:ascii="Times New Roman" w:hAnsi="Times New Roman"/>
          <w:sz w:val="24"/>
          <w:szCs w:val="24"/>
          <w:lang w:val="uk-UA" w:eastAsia="ru-RU"/>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bidi w:val="0"/>
        <w:spacing w:before="240" w:after="240"/>
        <w:ind w:hanging="0" w:start="-284" w:end="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hanging="0" w:start="0" w:end="0"/>
        <w:jc w:val="both"/>
        <w:outlineLvl w:val="0"/>
        <w:rPr>
          <w:rFonts w:ascii="Times New Roman" w:hAnsi="Times New Roman"/>
          <w:sz w:val="24"/>
          <w:szCs w:val="24"/>
          <w:lang w:val="uk-UA"/>
        </w:rPr>
      </w:pPr>
      <w:r>
        <w:rPr>
          <w:rFonts w:eastAsia="Times New Roman" w:cs="Times New Roman" w:ascii="Times New Roman" w:hAnsi="Times New Roman"/>
          <w:b w:val="false"/>
          <w:bCs w:val="false"/>
          <w:caps/>
          <w:sz w:val="24"/>
          <w:szCs w:val="24"/>
          <w:lang w:val="uk-UA" w:eastAsia="ru-RU"/>
        </w:rPr>
        <w:t>8.5. </w:t>
      </w:r>
      <w:r>
        <w:rPr>
          <w:rFonts w:ascii="Times New Roman" w:hAnsi="Times New Roman"/>
          <w:b w:val="false"/>
          <w:bCs w:val="false"/>
          <w:sz w:val="24"/>
          <w:szCs w:val="24"/>
          <w:lang w:val="uk-UA" w:eastAsia="ru-RU"/>
        </w:rPr>
        <w:t>С</w:t>
      </w:r>
      <w:r>
        <w:rPr>
          <w:rFonts w:ascii="Times New Roman" w:hAnsi="Times New Roman"/>
          <w:sz w:val="24"/>
          <w:szCs w:val="24"/>
          <w:lang w:val="uk-UA" w:eastAsia="ru-RU"/>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start="0" w:end="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567" w:start="0" w:end="0"/>
        <w:jc w:val="center"/>
        <w:outlineLvl w:val="0"/>
        <w:rPr>
          <w:rFonts w:ascii="Times New Roman" w:hAnsi="Times New Roman"/>
          <w:sz w:val="24"/>
          <w:szCs w:val="24"/>
          <w:lang w:val="uk-UA"/>
        </w:rPr>
      </w:pPr>
      <w:r>
        <w:rPr>
          <w:rFonts w:eastAsia="Times New Roman" w:cs="Times New Roman" w:ascii="Times New Roman" w:hAnsi="Times New Roman"/>
          <w:b/>
          <w:bCs/>
          <w:caps/>
          <w:sz w:val="24"/>
          <w:szCs w:val="24"/>
          <w:lang w:val="uk-UA" w:eastAsia="ru-RU"/>
        </w:rPr>
        <w:t xml:space="preserve">ІХ. </w:t>
      </w:r>
      <w:r>
        <w:rPr>
          <w:rFonts w:eastAsia="Times New Roman" w:cs="Times New Roman CYR" w:ascii="Times New Roman" w:hAnsi="Times New Roman"/>
          <w:b/>
          <w:bCs/>
          <w:caps/>
          <w:sz w:val="24"/>
          <w:szCs w:val="24"/>
          <w:lang w:val="uk-UA" w:eastAsia="ru-RU"/>
        </w:rPr>
        <w:t xml:space="preserve">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start="0" w:end="0"/>
        <w:jc w:val="both"/>
        <w:outlineLvl w:val="0"/>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Виконавця:_____________________________________________________________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09"/>
          <w:tab w:val="left" w:pos="900" w:leader="none"/>
          <w:tab w:val="left" w:pos="141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У такому разі жодна із Сторін не має права вимагати від іншої Сторони відшкодування можливих збитків.</w:t>
      </w:r>
    </w:p>
    <w:p>
      <w:pPr>
        <w:pStyle w:val="Normal"/>
        <w:bidi w:val="0"/>
        <w:spacing w:before="240" w:after="240"/>
        <w:ind w:hanging="0" w:start="-283" w:end="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276" w:before="0" w:after="0"/>
        <w:ind w:hanging="0" w:start="0" w:end="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before="240" w:after="240"/>
        <w:ind w:hanging="0" w:start="-284" w:end="-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before="240" w:after="240"/>
        <w:ind w:hanging="0" w:start="-284" w:end="-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 грудня 2024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276" w:before="0" w:after="0"/>
        <w:ind w:hanging="0" w:start="0" w:end="-113"/>
        <w:jc w:val="both"/>
        <w:rPr>
          <w:rFonts w:ascii="Times New Roman" w:hAnsi="Times New Roman"/>
          <w:sz w:val="24"/>
          <w:szCs w:val="24"/>
          <w:lang w:val="uk-UA"/>
        </w:rPr>
      </w:pPr>
      <w:r>
        <w:rPr>
          <w:rFonts w:eastAsia="Times New Roman" w:cs="Times New Roman" w:ascii="Times New Roman" w:hAnsi="Times New Roman"/>
          <w:sz w:val="24"/>
          <w:szCs w:val="24"/>
          <w:lang w:val="uk-UA" w:eastAsia="ru-RU"/>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before="240" w:after="240"/>
        <w:ind w:hanging="0" w:start="-284" w:end="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276"/>
        <w:ind w:hanging="0" w:start="0" w:end="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276"/>
        <w:ind w:hanging="0" w:start="0" w:end="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276"/>
        <w:ind w:hanging="0" w:start="0" w:end="-10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276" w:before="0" w:after="0"/>
        <w:ind w:hanging="0" w:start="0" w:end="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240" w:after="240"/>
        <w:ind w:hanging="0" w:start="-283" w:end="-10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bidi w:val="0"/>
        <w:spacing w:lineRule="auto" w:line="240" w:before="240" w:after="240"/>
        <w:ind w:hanging="0" w:start="-284" w:end="-102"/>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XV. ДОДАТКИ ДО ДОГОВОРУ</w:t>
      </w:r>
    </w:p>
    <w:tbl>
      <w:tblPr>
        <w:tblW w:w="10500" w:type="dxa"/>
        <w:jc w:val="center"/>
        <w:tblInd w:w="0" w:type="dxa"/>
        <w:tblLayout w:type="fixed"/>
        <w:tblCellMar>
          <w:top w:w="30" w:type="dxa"/>
          <w:start w:w="30" w:type="dxa"/>
          <w:bottom w:w="30" w:type="dxa"/>
          <w:end w:w="30" w:type="dxa"/>
        </w:tblCellMar>
      </w:tblPr>
      <w:tblGrid>
        <w:gridCol w:w="10500"/>
      </w:tblGrid>
      <w:tr>
        <w:trPr/>
        <w:tc>
          <w:tcPr>
            <w:tcW w:w="10500" w:type="dxa"/>
            <w:tcBorders/>
            <w:shd w:fill="FFFFFF" w:val="clear"/>
            <w:vAlign w:val="center"/>
          </w:tcPr>
          <w:p>
            <w:pPr>
              <w:pStyle w:val="Normal"/>
              <w:widowControl w:val="false"/>
              <w:bidi w:val="0"/>
              <w:spacing w:lineRule="auto" w:line="276" w:before="0" w:after="0"/>
              <w:ind w:hanging="0" w:start="0" w:end="0"/>
              <w:jc w:val="star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 Невід'ємною частиною цього Договору є:</w:t>
            </w:r>
          </w:p>
          <w:p>
            <w:pPr>
              <w:pStyle w:val="Normal"/>
              <w:widowControl w:val="false"/>
              <w:bidi w:val="0"/>
              <w:spacing w:lineRule="auto" w:line="276" w:before="0" w:after="0"/>
              <w:ind w:hanging="0" w:start="0" w:end="0"/>
              <w:jc w:val="start"/>
              <w:rPr>
                <w:rFonts w:ascii="Times New Roman" w:hAnsi="Times New Roman"/>
                <w:sz w:val="24"/>
                <w:szCs w:val="24"/>
                <w:lang w:val="uk-UA"/>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.1.1. Додаток № 1 – Специфікація на надання послуг</w:t>
            </w:r>
          </w:p>
          <w:p>
            <w:pPr>
              <w:pStyle w:val="Normal"/>
              <w:widowControl w:val="false"/>
              <w:bidi w:val="0"/>
              <w:spacing w:lineRule="auto" w:line="276" w:before="0" w:after="0"/>
              <w:ind w:hanging="0" w:start="0" w:end="0"/>
              <w:jc w:val="start"/>
              <w:rPr>
                <w:rFonts w:ascii="Times New Roman" w:hAnsi="Times New Roman" w:eastAsia="Times New Roman" w:cs="Times New Roman CYR"/>
                <w:color w:val="000000"/>
                <w:sz w:val="24"/>
                <w:szCs w:val="24"/>
                <w:lang w:val="uk-UA" w:eastAsia="ru-RU"/>
              </w:rPr>
            </w:pPr>
            <w:r>
              <w:rPr>
                <w:rFonts w:eastAsia="Times New Roman" w:cs="Times New Roman CYR" w:ascii="Times New Roman" w:hAnsi="Times New Roman"/>
                <w:color w:val="000000"/>
                <w:sz w:val="24"/>
                <w:szCs w:val="24"/>
                <w:lang w:val="uk-UA" w:eastAsia="ru-RU"/>
              </w:rPr>
              <w:t>1</w:t>
            </w:r>
            <w:r>
              <w:rPr>
                <w:rFonts w:eastAsia="Times New Roman" w:cs="Times New Roman CYR" w:ascii="Times New Roman" w:hAnsi="Times New Roman"/>
                <w:color w:val="000000"/>
                <w:kern w:val="2"/>
                <w:sz w:val="24"/>
                <w:szCs w:val="24"/>
                <w:lang w:val="uk-UA" w:eastAsia="ru-RU" w:bidi="hi-IN"/>
              </w:rPr>
              <w:t>5</w:t>
            </w:r>
            <w:r>
              <w:rPr>
                <w:rFonts w:eastAsia="Times New Roman" w:cs="Times New Roman CYR" w:ascii="Times New Roman" w:hAnsi="Times New Roman"/>
                <w:color w:val="000000"/>
                <w:sz w:val="24"/>
                <w:szCs w:val="24"/>
                <w:lang w:val="uk-UA" w:eastAsia="ru-RU"/>
              </w:rPr>
              <w:t xml:space="preserve">.1.2. </w:t>
            </w:r>
            <w:r>
              <w:rPr>
                <w:rFonts w:eastAsia="Times New Roman" w:cs="Times New Roman CYR" w:ascii="Times New Roman CYR" w:hAnsi="Times New Roman CYR"/>
                <w:b w:val="false"/>
                <w:bCs w:val="false"/>
                <w:color w:val="000000"/>
                <w:sz w:val="24"/>
                <w:szCs w:val="24"/>
                <w:lang w:val="uk-UA" w:eastAsia="ru-RU"/>
              </w:rPr>
              <w:t xml:space="preserve">Додаток № 2 – Місце </w:t>
            </w:r>
            <w:r>
              <w:rPr>
                <w:rFonts w:eastAsia="Times New Roman" w:cs="Times New Roman CYR" w:ascii="Times New Roman" w:hAnsi="Times New Roman"/>
                <w:b w:val="false"/>
                <w:bCs w:val="false"/>
                <w:color w:val="000000"/>
                <w:sz w:val="24"/>
                <w:szCs w:val="24"/>
                <w:lang w:val="uk-UA" w:eastAsia="ru-RU"/>
              </w:rPr>
              <w:t>надання послуг</w:t>
            </w:r>
          </w:p>
        </w:tc>
      </w:tr>
    </w:tbl>
    <w:p>
      <w:pPr>
        <w:pStyle w:val="Normal"/>
        <w:keepNext w:val="true"/>
        <w:widowControl w:val="false"/>
        <w:numPr>
          <w:ilvl w:val="0"/>
          <w:numId w:val="0"/>
        </w:numPr>
        <w:shd w:fill="FFFFFF" w:val="clear"/>
        <w:tabs>
          <w:tab w:val="clear" w:pos="709"/>
          <w:tab w:val="left" w:pos="9254" w:leader="dot"/>
        </w:tabs>
        <w:bidi w:val="0"/>
        <w:spacing w:lineRule="auto" w:line="276" w:before="0" w:after="0"/>
        <w:ind w:hanging="0" w:start="0" w:end="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10386" w:leader="dot"/>
        </w:tabs>
        <w:bidi w:val="0"/>
        <w:spacing w:lineRule="auto" w:line="276" w:before="0" w:after="0"/>
        <w:ind w:hanging="0" w:start="566" w:end="0"/>
        <w:jc w:val="center"/>
        <w:outlineLvl w:val="2"/>
        <w:rPr>
          <w:rFonts w:ascii="Times New Roman" w:hAnsi="Times New Roman"/>
          <w:sz w:val="24"/>
          <w:szCs w:val="24"/>
          <w:lang w:val="uk-UA"/>
        </w:rPr>
      </w:pPr>
      <w:bookmarkStart w:id="5" w:name="_Toc271040157"/>
      <w:r>
        <w:rPr>
          <w:rFonts w:eastAsia="Times New Roman" w:ascii="Times New Roman" w:hAnsi="Times New Roman"/>
          <w:b/>
          <w:color w:val="000000"/>
          <w:sz w:val="24"/>
          <w:szCs w:val="24"/>
          <w:lang w:val="uk-UA" w:eastAsia="ru-RU"/>
        </w:rPr>
        <w:t>XIII. МІСЦЕЗНАХОДЖЕННЯ ТА БАНКІВСЬКІ РЕКВІЗИТИ СТОРІН</w:t>
      </w:r>
      <w:bookmarkEnd w:id="5"/>
      <w:r>
        <w:rPr>
          <w:rFonts w:eastAsia="Times New Roman" w:ascii="Times New Roman" w:hAnsi="Times New Roman"/>
          <w:b/>
          <w:color w:val="000000"/>
          <w:sz w:val="24"/>
          <w:szCs w:val="24"/>
          <w:lang w:val="uk-UA" w:eastAsia="ru-RU"/>
        </w:rPr>
        <w:t xml:space="preserve"> </w:t>
      </w:r>
    </w:p>
    <w:tbl>
      <w:tblPr>
        <w:tblW w:w="10354" w:type="dxa"/>
        <w:jc w:val="center"/>
        <w:tblInd w:w="0" w:type="dxa"/>
        <w:tblLayout w:type="fixed"/>
        <w:tblCellMar>
          <w:top w:w="30" w:type="dxa"/>
          <w:start w:w="30" w:type="dxa"/>
          <w:bottom w:w="30" w:type="dxa"/>
          <w:end w:w="30" w:type="dxa"/>
        </w:tblCellMar>
      </w:tblPr>
      <w:tblGrid>
        <w:gridCol w:w="5249"/>
        <w:gridCol w:w="5105"/>
      </w:tblGrid>
      <w:tr>
        <w:trPr/>
        <w:tc>
          <w:tcPr>
            <w:tcW w:w="5249"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bookmarkStart w:id="6" w:name="__DdeLink__11555_3593751998"/>
            <w:bookmarkEnd w:id="6"/>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Виконавець</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hd w:fill="FFFFFF" w:val="clear"/>
        <w:suppressAutoHyphens w:val="true"/>
        <w:bidi w:val="0"/>
        <w:spacing w:lineRule="auto" w:line="240" w:before="0" w:after="0"/>
        <w:ind w:hanging="0" w:start="30" w:end="0"/>
        <w:jc w:val="start"/>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firstLine="567" w:start="0" w:end="0"/>
        <w:jc w:val="center"/>
        <w:outlineLvl w:val="2"/>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№1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t>СПЕЦИФІКАЦІЯ НА НАДАННЯ ПОСЛУГ</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tbl>
      <w:tblPr>
        <w:tblW w:w="10305" w:type="dxa"/>
        <w:jc w:val="start"/>
        <w:tblInd w:w="-60" w:type="dxa"/>
        <w:tblLayout w:type="fixed"/>
        <w:tblCellMar>
          <w:top w:w="0" w:type="dxa"/>
          <w:start w:w="7" w:type="dxa"/>
          <w:bottom w:w="0" w:type="dxa"/>
          <w:end w:w="107" w:type="dxa"/>
        </w:tblCellMar>
      </w:tblPr>
      <w:tblGrid>
        <w:gridCol w:w="479"/>
        <w:gridCol w:w="4465"/>
        <w:gridCol w:w="1129"/>
        <w:gridCol w:w="1005"/>
        <w:gridCol w:w="1530"/>
        <w:gridCol w:w="1697"/>
      </w:tblGrid>
      <w:tr>
        <w:trPr>
          <w:trHeight w:val="596" w:hRule="atLeast"/>
        </w:trPr>
        <w:tc>
          <w:tcPr>
            <w:tcW w:w="47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446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Найменування послуг</w:t>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Одиниці</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виміру</w:t>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ind w:hanging="59" w:start="-49"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Кількість</w:t>
            </w:r>
          </w:p>
        </w:tc>
        <w:tc>
          <w:tcPr>
            <w:tcW w:w="1530"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Ціна за одиницю без ПДВ, грн.</w:t>
            </w:r>
          </w:p>
        </w:tc>
        <w:tc>
          <w:tcPr>
            <w:tcW w:w="1697"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Сума</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без ПДВ, грн.</w:t>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ind w:hanging="0" w:start="-108"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ind w:hanging="0" w:start="-108"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697" w:type="dxa"/>
            <w:tcBorders>
              <w:top w:val="single" w:sz="6" w:space="0" w:color="00000A"/>
              <w:start w:val="single" w:sz="6" w:space="0" w:color="00000A"/>
              <w:bottom w:val="single" w:sz="6" w:space="0" w:color="00000A"/>
              <w:end w:val="single" w:sz="6" w:space="0" w:color="00000A"/>
            </w:tcBorders>
            <w:shd w:fill="FFFFFF" w:val="clear"/>
            <w:vAlign w:val="bottom"/>
          </w:tcPr>
          <w:p>
            <w:pPr>
              <w:pStyle w:val="Normal"/>
              <w:widowControl w:val="false"/>
              <w:bidi w:val="0"/>
              <w:spacing w:lineRule="auto" w:line="276"/>
              <w:ind w:hanging="0" w:start="-108" w:end="-108"/>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shd w:fill="FFFFFF" w:val="clear"/>
        <w:bidi w:val="0"/>
        <w:spacing w:lineRule="auto" w:line="276" w:before="0" w:after="0"/>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widowControl w:val="false"/>
        <w:bidi w:val="0"/>
        <w:spacing w:lineRule="auto" w:line="276" w:before="0" w:after="0"/>
        <w:ind w:firstLine="720" w:start="0" w:end="0"/>
        <w:jc w:val="both"/>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52" w:type="dxa"/>
        <w:jc w:val="start"/>
        <w:tblInd w:w="-89" w:type="dxa"/>
        <w:tblLayout w:type="fixed"/>
        <w:tblCellMar>
          <w:top w:w="0" w:type="dxa"/>
          <w:start w:w="108" w:type="dxa"/>
          <w:bottom w:w="0" w:type="dxa"/>
          <w:end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hanging="0" w:start="0" w:end="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tbl>
      <w:tblPr>
        <w:tblW w:w="10388" w:type="dxa"/>
        <w:jc w:val="center"/>
        <w:tblInd w:w="0" w:type="dxa"/>
        <w:tblLayout w:type="fixed"/>
        <w:tblCellMar>
          <w:top w:w="0" w:type="dxa"/>
          <w:start w:w="108" w:type="dxa"/>
          <w:bottom w:w="0" w:type="dxa"/>
          <w:end w:w="108" w:type="dxa"/>
        </w:tblCellMar>
      </w:tblPr>
      <w:tblGrid>
        <w:gridCol w:w="525"/>
        <w:gridCol w:w="5475"/>
        <w:gridCol w:w="4388"/>
      </w:tblGrid>
      <w:tr>
        <w:trPr>
          <w:trHeight w:val="636"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sz w:val="20"/>
                <w:szCs w:val="20"/>
                <w:lang w:val="uk-UA" w:eastAsia="ru-RU"/>
              </w:rPr>
              <w:t>1</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color w:val="000000"/>
                <w:sz w:val="20"/>
                <w:szCs w:val="20"/>
                <w:lang w:eastAsia="ru-RU"/>
              </w:rPr>
              <w:t>Дельжилерський ліцей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bidi w:val="0"/>
              <w:spacing w:before="0" w:after="0"/>
              <w:jc w:val="start"/>
              <w:rPr>
                <w:sz w:val="20"/>
                <w:szCs w:val="20"/>
              </w:rPr>
            </w:pPr>
            <w:r>
              <w:rPr>
                <w:rFonts w:ascii="Times New Roman" w:hAnsi="Times New Roman"/>
                <w:color w:val="000000"/>
                <w:sz w:val="20"/>
                <w:szCs w:val="20"/>
                <w:lang w:eastAsia="ru-RU"/>
              </w:rPr>
              <w:t>68110, Одеська область, Білгород-Дністровський район, село Дельжилер, вулиця Шкільна, 115</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sz w:val="20"/>
                <w:szCs w:val="20"/>
                <w:lang w:val="uk-UA" w:eastAsia="ru-RU"/>
              </w:rPr>
              <w:t>2</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color w:val="000000"/>
                <w:sz w:val="20"/>
                <w:szCs w:val="20"/>
                <w:lang w:val="uk-UA" w:eastAsia="ru-RU"/>
              </w:rPr>
              <w:t>Татарбунарськийліцейімені  В. З. Тура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bidi w:val="0"/>
              <w:spacing w:before="0" w:after="0"/>
              <w:jc w:val="start"/>
              <w:rPr>
                <w:sz w:val="20"/>
                <w:szCs w:val="20"/>
              </w:rPr>
            </w:pPr>
            <w:r>
              <w:rPr>
                <w:rFonts w:ascii="Times New Roman" w:hAnsi="Times New Roman"/>
                <w:color w:val="000000"/>
                <w:sz w:val="20"/>
                <w:szCs w:val="20"/>
                <w:lang w:eastAsia="ru-RU"/>
              </w:rPr>
              <w:t>68100, Одеська область, Білгород-Дністровський район, місто Татарбунари, вул. Барінова, 10</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sz w:val="20"/>
                <w:szCs w:val="20"/>
                <w:lang w:val="uk-UA" w:eastAsia="ru-RU"/>
              </w:rPr>
              <w:t>3</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color w:val="000000"/>
                <w:sz w:val="20"/>
                <w:szCs w:val="20"/>
                <w:lang w:eastAsia="ru-RU"/>
              </w:rPr>
              <w:t>Татарбунарський ліцей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sz w:val="20"/>
                <w:szCs w:val="20"/>
              </w:rPr>
            </w:pPr>
            <w:r>
              <w:rPr>
                <w:rFonts w:ascii="Times New Roman" w:hAnsi="Times New Roman"/>
                <w:color w:val="000000"/>
                <w:sz w:val="20"/>
                <w:szCs w:val="20"/>
                <w:lang w:eastAsia="ru-RU"/>
              </w:rPr>
              <w:t>68100, Одеська область, Білгород-Дністровський район, місто Татарбунари, вулиця Князева, 5</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color w:val="000000"/>
                <w:sz w:val="20"/>
                <w:szCs w:val="20"/>
                <w:lang w:val="uk-UA" w:eastAsia="ru-RU"/>
              </w:rPr>
              <w:t>4</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sz w:val="20"/>
                <w:szCs w:val="20"/>
                <w:lang w:val="uk-UA" w:eastAsia="ru-RU"/>
              </w:rPr>
              <w:t>Комунальний заклад дошкільної освіти (ясла-садок) «Незабудка» комбінованого типу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sz w:val="20"/>
                <w:szCs w:val="20"/>
              </w:rPr>
            </w:pPr>
            <w:r>
              <w:rPr>
                <w:rFonts w:ascii="Times New Roman" w:hAnsi="Times New Roman"/>
                <w:sz w:val="20"/>
                <w:szCs w:val="20"/>
                <w:lang w:eastAsia="ru-RU"/>
              </w:rPr>
              <w:t xml:space="preserve">68100,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м. Татарбунари, вулиця Центральна, 68</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color w:val="000000"/>
                <w:sz w:val="20"/>
                <w:szCs w:val="20"/>
                <w:lang w:val="uk-UA" w:eastAsia="ru-RU"/>
              </w:rPr>
              <w:t>5</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sz w:val="20"/>
                <w:szCs w:val="20"/>
                <w:lang w:eastAsia="ru-RU"/>
              </w:rPr>
              <w:t>Комунальний заклад дошкільної освіти (ясла-садок) «Колосок»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sz w:val="20"/>
                <w:szCs w:val="20"/>
              </w:rPr>
            </w:pPr>
            <w:r>
              <w:rPr>
                <w:rFonts w:ascii="Times New Roman" w:hAnsi="Times New Roman"/>
                <w:sz w:val="20"/>
                <w:szCs w:val="20"/>
                <w:lang w:eastAsia="ru-RU"/>
              </w:rPr>
              <w:t xml:space="preserve">68100,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м. Татарбунари, вулиця Клюшнікова, 23</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color w:val="000000"/>
                <w:sz w:val="20"/>
                <w:szCs w:val="20"/>
                <w:lang w:val="uk-UA" w:eastAsia="ru-RU"/>
              </w:rPr>
              <w:t>6</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sz w:val="20"/>
                <w:szCs w:val="20"/>
                <w:lang w:val="uk-UA" w:eastAsia="ru-RU"/>
              </w:rPr>
              <w:t>Комунальний заклад дошкільної освіти(ясла-садок) «Ромашка» комбінованого типу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sz w:val="20"/>
                <w:szCs w:val="20"/>
              </w:rPr>
            </w:pPr>
            <w:r>
              <w:rPr>
                <w:rFonts w:ascii="Times New Roman" w:hAnsi="Times New Roman"/>
                <w:sz w:val="20"/>
                <w:szCs w:val="20"/>
                <w:lang w:eastAsia="ru-RU"/>
              </w:rPr>
              <w:t xml:space="preserve">68110, Одеська обл.,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Дельжилер, вулиця Перемоги , будинок 131</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color w:val="000000"/>
                <w:sz w:val="20"/>
                <w:szCs w:val="20"/>
                <w:lang w:val="uk-UA" w:eastAsia="ru-RU"/>
              </w:rPr>
              <w:t>7</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sz w:val="20"/>
                <w:szCs w:val="20"/>
                <w:lang w:val="uk-UA" w:eastAsia="ru-RU"/>
              </w:rPr>
              <w:t>Комунальний заклад дошкільної освіти (ясла-садок) «Дзвіночок»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sz w:val="20"/>
                <w:szCs w:val="20"/>
              </w:rPr>
            </w:pPr>
            <w:r>
              <w:rPr>
                <w:rFonts w:ascii="Times New Roman" w:hAnsi="Times New Roman"/>
                <w:sz w:val="20"/>
                <w:szCs w:val="20"/>
                <w:lang w:eastAsia="ru-RU"/>
              </w:rPr>
              <w:t xml:space="preserve">68121, Одеська область,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село Спаське, вулиця Комарова, 2</w:t>
            </w:r>
          </w:p>
        </w:tc>
      </w:tr>
      <w:tr>
        <w:trPr>
          <w:trHeight w:val="89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color w:val="000000"/>
                <w:sz w:val="20"/>
                <w:szCs w:val="20"/>
                <w:lang w:val="uk-UA" w:eastAsia="ru-RU"/>
              </w:rPr>
              <w:t>8</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sz w:val="20"/>
                <w:szCs w:val="20"/>
                <w:lang w:val="uk-UA" w:eastAsia="ru-RU"/>
              </w:rPr>
              <w:t>Комунальний заклад дошкільної освіти (ясла-садок) «Веселка»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sz w:val="20"/>
                <w:szCs w:val="20"/>
              </w:rPr>
            </w:pPr>
            <w:r>
              <w:rPr>
                <w:rFonts w:ascii="Times New Roman" w:hAnsi="Times New Roman"/>
                <w:sz w:val="20"/>
                <w:szCs w:val="20"/>
                <w:lang w:eastAsia="ru-RU"/>
              </w:rPr>
              <w:t xml:space="preserve">68122, Одеська область,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село Нерушай, вулиця Цетральна, 57</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color w:val="000000"/>
                <w:sz w:val="20"/>
                <w:szCs w:val="20"/>
                <w:lang w:val="uk-UA" w:eastAsia="ru-RU"/>
              </w:rPr>
              <w:t>9</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sz w:val="20"/>
                <w:szCs w:val="20"/>
                <w:lang w:val="uk-UA" w:eastAsia="ru-RU"/>
              </w:rPr>
              <w:t>Комунальний заклад дошкільної освіти (ясла-садок) «Буратіно»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sz w:val="20"/>
                <w:szCs w:val="20"/>
              </w:rPr>
            </w:pPr>
            <w:r>
              <w:rPr>
                <w:rFonts w:ascii="Times New Roman" w:hAnsi="Times New Roman"/>
                <w:sz w:val="20"/>
                <w:szCs w:val="20"/>
                <w:lang w:eastAsia="ru-RU"/>
              </w:rPr>
              <w:t xml:space="preserve">68133, Одеська обл.,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Глибоке, вулиця Цетральна, будинок, 41 А</w:t>
            </w:r>
          </w:p>
        </w:tc>
      </w:tr>
      <w:tr>
        <w:trPr>
          <w:trHeight w:val="598" w:hRule="atLeast"/>
        </w:trPr>
        <w:tc>
          <w:tcPr>
            <w:tcW w:w="525" w:type="dxa"/>
            <w:tcBorders>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color w:val="000000"/>
                <w:sz w:val="20"/>
                <w:szCs w:val="20"/>
                <w:lang w:eastAsia="ru-RU"/>
              </w:rPr>
              <w:t>1</w:t>
            </w:r>
            <w:r>
              <w:rPr>
                <w:rFonts w:ascii="Times New Roman" w:hAnsi="Times New Roman"/>
                <w:color w:val="000000"/>
                <w:sz w:val="20"/>
                <w:szCs w:val="20"/>
                <w:lang w:val="uk-UA" w:eastAsia="ru-RU"/>
              </w:rPr>
              <w:t>0</w:t>
            </w:r>
          </w:p>
        </w:tc>
        <w:tc>
          <w:tcPr>
            <w:tcW w:w="5475" w:type="dxa"/>
            <w:tcBorders>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sz w:val="20"/>
                <w:szCs w:val="20"/>
                <w:lang w:val="uk-UA" w:eastAsia="ru-RU"/>
              </w:rPr>
              <w:t>Комунальний заклад дошкільної освіти (ясла-садок)     «Берізка» Татарбунарської міської ради Одеської області</w:t>
            </w:r>
          </w:p>
        </w:tc>
        <w:tc>
          <w:tcPr>
            <w:tcW w:w="4388" w:type="dxa"/>
            <w:tcBorders>
              <w:start w:val="single" w:sz="4" w:space="0" w:color="000000"/>
              <w:bottom w:val="single" w:sz="4" w:space="0" w:color="000000"/>
              <w:end w:val="single" w:sz="4" w:space="0" w:color="000000"/>
            </w:tcBorders>
            <w:vAlign w:val="center"/>
          </w:tcPr>
          <w:p>
            <w:pPr>
              <w:pStyle w:val="Normal"/>
              <w:bidi w:val="0"/>
              <w:spacing w:before="0" w:after="0"/>
              <w:jc w:val="start"/>
              <w:rPr>
                <w:sz w:val="20"/>
                <w:szCs w:val="20"/>
              </w:rPr>
            </w:pPr>
            <w:r>
              <w:rPr>
                <w:rFonts w:ascii="Times New Roman" w:hAnsi="Times New Roman"/>
                <w:sz w:val="20"/>
                <w:szCs w:val="20"/>
                <w:lang w:eastAsia="ru-RU"/>
              </w:rPr>
              <w:t xml:space="preserve">68112, Одеська область,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Борисівка, вулиця Миру, 1</w:t>
            </w:r>
          </w:p>
        </w:tc>
      </w:tr>
      <w:tr>
        <w:trPr>
          <w:trHeight w:val="598" w:hRule="atLeast"/>
        </w:trPr>
        <w:tc>
          <w:tcPr>
            <w:tcW w:w="525" w:type="dxa"/>
            <w:tcBorders>
              <w:start w:val="single" w:sz="4" w:space="0" w:color="000000"/>
              <w:bottom w:val="single" w:sz="4" w:space="0" w:color="000000"/>
              <w:end w:val="single" w:sz="4" w:space="0" w:color="000000"/>
            </w:tcBorders>
            <w:vAlign w:val="center"/>
          </w:tcPr>
          <w:p>
            <w:pPr>
              <w:pStyle w:val="Normal"/>
              <w:bidi w:val="0"/>
              <w:spacing w:before="0" w:after="0"/>
              <w:jc w:val="center"/>
              <w:rPr>
                <w:sz w:val="20"/>
                <w:szCs w:val="20"/>
              </w:rPr>
            </w:pPr>
            <w:r>
              <w:rPr>
                <w:rFonts w:ascii="Times New Roman" w:hAnsi="Times New Roman"/>
                <w:color w:val="000000"/>
                <w:sz w:val="20"/>
                <w:szCs w:val="20"/>
                <w:lang w:eastAsia="ru-RU"/>
              </w:rPr>
              <w:t>1</w:t>
            </w:r>
            <w:r>
              <w:rPr>
                <w:rFonts w:ascii="Times New Roman" w:hAnsi="Times New Roman"/>
                <w:color w:val="000000"/>
                <w:sz w:val="20"/>
                <w:szCs w:val="20"/>
                <w:lang w:val="uk-UA" w:eastAsia="ru-RU"/>
              </w:rPr>
              <w:t>1</w:t>
            </w:r>
          </w:p>
        </w:tc>
        <w:tc>
          <w:tcPr>
            <w:tcW w:w="5475" w:type="dxa"/>
            <w:tcBorders>
              <w:start w:val="single" w:sz="4" w:space="0" w:color="000000"/>
              <w:bottom w:val="single" w:sz="4" w:space="0" w:color="000000"/>
              <w:end w:val="single" w:sz="4" w:space="0" w:color="000000"/>
            </w:tcBorders>
          </w:tcPr>
          <w:p>
            <w:pPr>
              <w:pStyle w:val="Normal"/>
              <w:bidi w:val="0"/>
              <w:spacing w:before="0" w:after="0"/>
              <w:jc w:val="start"/>
              <w:rPr>
                <w:sz w:val="20"/>
                <w:szCs w:val="20"/>
              </w:rPr>
            </w:pPr>
            <w:r>
              <w:rPr>
                <w:rFonts w:ascii="Times New Roman" w:hAnsi="Times New Roman"/>
                <w:sz w:val="20"/>
                <w:szCs w:val="20"/>
                <w:lang w:val="uk-UA" w:eastAsia="ru-RU"/>
              </w:rPr>
              <w:t>Комунальний заклад дошкільної освіти (ясла-садок)             «Сонечко» Татарбунарської міської ради Одеської області</w:t>
            </w:r>
          </w:p>
        </w:tc>
        <w:tc>
          <w:tcPr>
            <w:tcW w:w="4388" w:type="dxa"/>
            <w:tcBorders>
              <w:start w:val="single" w:sz="4" w:space="0" w:color="000000"/>
              <w:bottom w:val="single" w:sz="4" w:space="0" w:color="000000"/>
              <w:end w:val="single" w:sz="4" w:space="0" w:color="000000"/>
            </w:tcBorders>
            <w:vAlign w:val="center"/>
          </w:tcPr>
          <w:p>
            <w:pPr>
              <w:pStyle w:val="Normal"/>
              <w:bidi w:val="0"/>
              <w:spacing w:before="0" w:after="0"/>
              <w:jc w:val="start"/>
              <w:rPr>
                <w:sz w:val="20"/>
                <w:szCs w:val="20"/>
              </w:rPr>
            </w:pPr>
            <w:r>
              <w:rPr>
                <w:rFonts w:ascii="Times New Roman" w:hAnsi="Times New Roman"/>
                <w:sz w:val="20"/>
                <w:szCs w:val="20"/>
                <w:lang w:eastAsia="ru-RU"/>
              </w:rPr>
              <w:t xml:space="preserve">68130,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село Білолісся, вулиця Свято-Покровська, 9</w:t>
            </w:r>
          </w:p>
        </w:tc>
      </w:tr>
    </w:tbl>
    <w:tbl>
      <w:tblPr>
        <w:tblW w:w="10252" w:type="dxa"/>
        <w:jc w:val="start"/>
        <w:tblInd w:w="-89" w:type="dxa"/>
        <w:tblLayout w:type="fixed"/>
        <w:tblCellMar>
          <w:top w:w="0" w:type="dxa"/>
          <w:start w:w="108" w:type="dxa"/>
          <w:bottom w:w="0" w:type="dxa"/>
          <w:end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widowControl w:val="false"/>
        <w:bidi w:val="0"/>
        <w:spacing w:lineRule="auto" w:line="240" w:before="0" w:after="0"/>
        <w:jc w:val="start"/>
        <w:rPr>
          <w:rFonts w:ascii="Times New Roman" w:hAnsi="Times New Roman"/>
          <w:lang w:val="uk-UA"/>
        </w:rPr>
      </w:pPr>
      <w:r>
        <w:rPr/>
      </w:r>
    </w:p>
    <w:p>
      <w:pPr>
        <w:pStyle w:val="Normal"/>
        <w:widowControl w:val="false"/>
        <w:bidi w:val="0"/>
        <w:spacing w:lineRule="auto" w:line="240" w:before="0" w:after="0"/>
        <w:jc w:val="start"/>
        <w:rPr>
          <w:rFonts w:ascii="Times New Roman" w:hAnsi="Times New Roman"/>
          <w:lang w:val="uk-UA"/>
        </w:rPr>
      </w:pPr>
      <w:r>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suppressAutoHyphens w:val="true"/>
        <w:bidi w:val="0"/>
        <w:spacing w:lineRule="auto" w:line="240" w:before="0" w:after="0"/>
        <w:ind w:hanging="0" w:start="0" w:end="0"/>
        <w:jc w:val="both"/>
        <w:rPr>
          <w:rFonts w:ascii="Times New Roman" w:hAnsi="Times New Roman" w:eastAsia="Times New Roman"/>
          <w:b w:val="false"/>
          <w:bCs w:val="false"/>
          <w:i/>
          <w:i/>
          <w:iCs/>
          <w:color w:val="auto"/>
          <w:spacing w:val="-3"/>
          <w:sz w:val="28"/>
          <w:szCs w:val="24"/>
          <w:vertAlign w:val="superscript"/>
          <w:lang w:val="uk-UA" w:eastAsia="ru-RU"/>
        </w:rPr>
      </w:pPr>
      <w:r>
        <w:rPr>
          <w:rFonts w:eastAsia="Times New Roman" w:ascii="Times New Roman" w:hAnsi="Times New Roman"/>
          <w:b w:val="false"/>
          <w:bCs w:val="false"/>
          <w:i/>
          <w:iCs/>
          <w:color w:val="auto"/>
          <w:spacing w:val="-3"/>
          <w:sz w:val="28"/>
          <w:szCs w:val="24"/>
          <w:vertAlign w:val="superscript"/>
          <w:lang w:val="uk-UA" w:eastAsia="ru-RU"/>
        </w:rPr>
        <w:t>(Учасник / Уповноважена / посадова особа Учасника)                    (М.П./  підпис)                             (прізвище, ім’я, по батькові, повністю)</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Liberation Sans">
    <w:altName w:val="Arial"/>
    <w:charset w:val="cc" w:characterSet="windows-1251"/>
    <w:family w:val="swiss"/>
    <w:pitch w:val="variable"/>
  </w:font>
  <w:font w:name="Times New Roman">
    <w:charset w:val="cc" w:characterSet="windows-1251"/>
    <w:family w:val="roman"/>
    <w:pitch w:val="variable"/>
  </w:font>
  <w:font w:name="Calibri">
    <w:charset w:val="cc" w:characterSet="windows-1251"/>
    <w:family w:val="roman"/>
    <w:pitch w:val="variable"/>
  </w:font>
  <w:font w:name="Times New Roman CYR">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7">
    <w:name w:val="Вміст таблиці"/>
    <w:basedOn w:val="Normal"/>
    <w:qFormat/>
    <w:pPr>
      <w:widowControl w:val="false"/>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1">
    <w:name w:val="Основной текст1"/>
    <w:basedOn w:val="Normal"/>
    <w:qFormat/>
    <w:pPr>
      <w:ind w:firstLine="40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LibreOffice/7.6.2.1$Windows_X86_64 LibreOffice_project/56f7684011345957bbf33a7ee678afaf4d2ba333</Application>
  <AppVersion>15.0000</AppVersion>
  <Pages>11</Pages>
  <Words>3734</Words>
  <Characters>27111</Characters>
  <CharactersWithSpaces>31266</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2023-12-22T19:10:16Z</dcterms:modified>
  <cp:revision>8</cp:revision>
  <dc:subject/>
  <dc:title/>
</cp:coreProperties>
</file>