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1" w:rsidRPr="00850F1A" w:rsidRDefault="00FD5B31" w:rsidP="00FD5B31">
      <w:pPr>
        <w:tabs>
          <w:tab w:val="left" w:pos="9900"/>
        </w:tabs>
        <w:spacing w:after="0"/>
        <w:ind w:left="4395" w:right="-25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  <w:r w:rsidRPr="00850F1A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  <w:t xml:space="preserve">                                                                 Додаток</w:t>
      </w:r>
      <w:r w:rsidRPr="00850F1A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№</w:t>
      </w:r>
      <w:r w:rsidRPr="00850F1A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  <w:t>3</w:t>
      </w:r>
    </w:p>
    <w:p w:rsidR="00FD5B31" w:rsidRPr="00850F1A" w:rsidRDefault="00FD5B31" w:rsidP="00FD5B31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val="uk-UA" w:eastAsia="ru-RU"/>
        </w:rPr>
      </w:pPr>
      <w:r w:rsidRPr="00850F1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uk-UA" w:eastAsia="ru-RU"/>
        </w:rPr>
        <w:t xml:space="preserve">до </w:t>
      </w:r>
      <w:r w:rsidRPr="00850F1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FD5B31" w:rsidRPr="00850F1A" w:rsidRDefault="00FD5B31" w:rsidP="00FD5B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0F1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FD5B31" w:rsidRPr="00850F1A" w:rsidRDefault="00FD5B31" w:rsidP="00FD5B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0F1A">
        <w:rPr>
          <w:rFonts w:ascii="Times New Roman" w:eastAsia="Calibri" w:hAnsi="Times New Roman" w:cs="Times New Roman"/>
          <w:b/>
          <w:sz w:val="24"/>
          <w:szCs w:val="24"/>
        </w:rPr>
        <w:t xml:space="preserve">ІНФОРМАЦІЯ ПРО НЕОБХІДНІ </w:t>
      </w:r>
      <w:proofErr w:type="gramStart"/>
      <w:r w:rsidRPr="00850F1A">
        <w:rPr>
          <w:rFonts w:ascii="Times New Roman" w:eastAsia="Calibri" w:hAnsi="Times New Roman" w:cs="Times New Roman"/>
          <w:b/>
          <w:sz w:val="24"/>
          <w:szCs w:val="24"/>
        </w:rPr>
        <w:t>ТЕХН</w:t>
      </w:r>
      <w:proofErr w:type="gramEnd"/>
      <w:r w:rsidRPr="00850F1A">
        <w:rPr>
          <w:rFonts w:ascii="Times New Roman" w:eastAsia="Calibri" w:hAnsi="Times New Roman" w:cs="Times New Roman"/>
          <w:b/>
          <w:sz w:val="24"/>
          <w:szCs w:val="24"/>
        </w:rPr>
        <w:t>ІЧНІ, ЯКІСНІ ТА КІЛЬКІСНІ ХАРАКТЕРИСТИКИ ПРЕДМЕТА ЗАКУПІВЛІ</w:t>
      </w:r>
    </w:p>
    <w:p w:rsidR="00FD5B31" w:rsidRPr="00850F1A" w:rsidRDefault="00FD5B31" w:rsidP="00FD5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0F1A"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  <w:t xml:space="preserve">        Опис предмета закупівлі: предметом закупівлі є придбання послуг за к</w:t>
      </w:r>
      <w:r w:rsidRPr="00850F1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одом ДК 021:2015 50310000-1 Технічне обслуговування і ремонт офісної техніки» (послуги по заправці та відновленню картриджів до копіювально-розмножувальної техніки) </w:t>
      </w:r>
      <w:r w:rsidRPr="00850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Pr="008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0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послуги.</w:t>
      </w:r>
    </w:p>
    <w:p w:rsidR="00FD5B31" w:rsidRPr="00850F1A" w:rsidRDefault="00FD5B31" w:rsidP="00FD5B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</w:t>
      </w:r>
      <w:proofErr w:type="gram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ічні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якісні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закупівлі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повинні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передбачати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необхідність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застосування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довкілля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5B31" w:rsidRPr="00850F1A" w:rsidRDefault="00FD5B31" w:rsidP="00FD5B31">
      <w:pPr>
        <w:tabs>
          <w:tab w:val="left" w:pos="1276"/>
        </w:tabs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F1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850F1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</w:t>
      </w:r>
    </w:p>
    <w:p w:rsidR="00FD5B31" w:rsidRPr="00850F1A" w:rsidRDefault="00FD5B31" w:rsidP="00FD5B3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50F1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Термін надання послуг - з моменту укладання договору до </w:t>
      </w:r>
      <w:r w:rsidR="00653EAD">
        <w:rPr>
          <w:rFonts w:ascii="Times New Roman" w:eastAsia="Batang" w:hAnsi="Times New Roman" w:cs="Times New Roman"/>
          <w:b/>
          <w:sz w:val="28"/>
          <w:szCs w:val="28"/>
          <w:lang w:val="uk-UA"/>
        </w:rPr>
        <w:t>15.12</w:t>
      </w: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.2022</w:t>
      </w:r>
      <w:r w:rsidRPr="00850F1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року. </w:t>
      </w:r>
    </w:p>
    <w:p w:rsidR="00FD5B31" w:rsidRPr="00850F1A" w:rsidRDefault="00FD5B31" w:rsidP="00FD5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D5B31" w:rsidRPr="00850F1A" w:rsidRDefault="00FD5B31" w:rsidP="00FD5B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Загальні вимоги </w:t>
      </w:r>
    </w:p>
    <w:p w:rsidR="00FD5B31" w:rsidRPr="00850F1A" w:rsidRDefault="00FD5B31" w:rsidP="00FD5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D5B31" w:rsidRPr="00850F1A" w:rsidRDefault="00FD5B31" w:rsidP="00FD5B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Послуги повинні бути надані в точній відповідності з технічними вимогами та зазначеними параметрами. </w:t>
      </w:r>
    </w:p>
    <w:p w:rsidR="00FD5B31" w:rsidRPr="00850F1A" w:rsidRDefault="00FD5B31" w:rsidP="00FD5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 Технологічні процеси заправки та відновлення картриджів повинні </w:t>
      </w:r>
      <w:r w:rsidRPr="00850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складатись з наступних етапів:</w:t>
      </w:r>
    </w:p>
    <w:p w:rsidR="00FD5B31" w:rsidRPr="00850F1A" w:rsidRDefault="00FD5B31" w:rsidP="00FD5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а) 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при заправці картриджа: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контроль справності картриджа;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розбирання (викручування закріплюючих гвинтів, виїмки шплінтів, що скріплюють дві частини картриджа та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розполовинення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);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зняття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фотобарабана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, з наступним ретельним очищенням його сухим стисненим повітрям і реактивами, шліфування, полірування (через кожні 2-3 циклу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фотобарабан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змінюється на новий);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виїмка гумового вала розряду (PCR) з подальшим його очищенням реактивами і шліфуванням;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зняття ракеля і ретельне очищення бункера від відпрацьованого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тонера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(очищення повинно проводитись сухим стисненим повітрям на стаціонарній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тонерній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станції);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розбирання і ретельне очищення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тонерного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відсіку (очищення проводиться сухим стисненим повітрям на стаціонарній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тонерній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станції);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огляд магнітного вала на наявність пошкоджень ущільнення та очищення його реактивами;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змащення контактних груп (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заміна струмопровідної і силі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конової змазки);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установка ракеля і гумового валу;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складання частин картриджа з бункером для робочого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тонера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та заправка високоякісним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тонером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50F1A">
        <w:rPr>
          <w:rFonts w:ascii="Times New Roman" w:eastAsia="Calibri" w:hAnsi="Times New Roman" w:cs="Times New Roman"/>
          <w:sz w:val="28"/>
          <w:szCs w:val="28"/>
          <w:lang w:val="uk-UA"/>
        </w:rPr>
        <w:t>із дотриманням вагових норм виробника картриджу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тонер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в контейнері попередньо струшується);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провертання магнітного вала за годинниковою стрілкою (вал повинен провертатися без зусиль);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перевірка рівномірності покриття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тонером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оболонки магнітного вала;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установка шплінтів;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посипання ракеля і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фотобарабана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тальком;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установка і закріплення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фотобарабана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гвинтами;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провертання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фотобарабана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в сторону закривання захисної кришки;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прошивку або заміну чипу (у разі </w:t>
      </w:r>
      <w:r w:rsidRPr="00850F1A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необхідності</w:t>
      </w:r>
      <w:r w:rsidRPr="00850F1A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картриджі повинні бути чистими ззовні (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чистка корпусу картриджа від залишків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тонера</w:t>
      </w:r>
      <w:proofErr w:type="spellEnd"/>
      <w:r w:rsidRPr="00850F1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850F1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тонер</w:t>
      </w:r>
      <w:proofErr w:type="spellEnd"/>
      <w:r w:rsidRPr="00850F1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не повинен «висипатися»).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маркування картриджу - к</w:t>
      </w:r>
      <w:r w:rsidRPr="00850F1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ожен картридж повинен мати на корпусі фірмову наклейку Виконавця з відмітками про проведені роботи, датою здійснення цих робіт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50F1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наявність всередині упаковки кожного картриджа - тестового відбитка, що підтверджує якість заправки картриджу.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збірка картриджа;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тестування заправленого картриджа;</w:t>
      </w:r>
    </w:p>
    <w:p w:rsidR="00FD5B31" w:rsidRPr="00850F1A" w:rsidRDefault="00FD5B31" w:rsidP="00FD5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упаковка в новий пакет чи коробку із зазначенням моделі друкуючого пристрою та коду картриджа.</w:t>
      </w:r>
    </w:p>
    <w:p w:rsidR="00FD5B31" w:rsidRPr="00850F1A" w:rsidRDefault="00FD5B31" w:rsidP="00FD5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б) 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при відновленні картриджа:</w:t>
      </w:r>
    </w:p>
    <w:p w:rsidR="00FD5B31" w:rsidRPr="00850F1A" w:rsidRDefault="00FD5B31" w:rsidP="00FD5B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первинне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тестування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5B31" w:rsidRPr="00850F1A" w:rsidRDefault="00FD5B31" w:rsidP="00FD5B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повне розбирання та очищення під тиском усіх вузлів картриджу;</w:t>
      </w:r>
    </w:p>
    <w:p w:rsidR="00FD5B31" w:rsidRPr="00850F1A" w:rsidRDefault="00FD5B31" w:rsidP="00FD5B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заміна вузлів, непридатних для повторного використання на нові;</w:t>
      </w:r>
    </w:p>
    <w:p w:rsidR="00FD5B31" w:rsidRPr="00850F1A" w:rsidRDefault="00FD5B31" w:rsidP="00FD5B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заміна оптичного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фотобарабану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новий;</w:t>
      </w:r>
    </w:p>
    <w:p w:rsidR="00FD5B31" w:rsidRPr="00850F1A" w:rsidRDefault="00FD5B31" w:rsidP="00FD5B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заправка високоякісним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тонером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D5B31" w:rsidRPr="00850F1A" w:rsidRDefault="00FD5B31" w:rsidP="00FD5B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герметизація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тонер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бункера.</w:t>
      </w:r>
    </w:p>
    <w:p w:rsidR="00FD5B31" w:rsidRPr="00850F1A" w:rsidRDefault="00FD5B31" w:rsidP="00FD5B31">
      <w:pPr>
        <w:spacing w:after="0" w:line="240" w:lineRule="auto"/>
        <w:ind w:left="18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D5B31" w:rsidRPr="00850F1A" w:rsidRDefault="00FD5B31" w:rsidP="00FD5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 Заправка та відновлення картриджів повинні проводитись із застосуванням високоякісних витратних матеріалів  виробників, які займаються розробкою та виробництвом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тонерів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Якість витратних матеріалів визначається шляхом друку пробної сторінки на предмет чистоти друку, відсутності смуг (блідих або темних), наявності нетипового для роботи пристрою механічного шуму,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просипання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тонеру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Ресурс картриджа повинен бути не менше заводської норми в порівнянні з оригінальним, якість друку не повинна суттєво відрізнятися від якості друку нових оригінальних картриджів за такими 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параметрами, як насиченість чорного, якість закріплення, відсутність фону, чіткість.</w:t>
      </w:r>
    </w:p>
    <w:p w:rsidR="00FD5B31" w:rsidRPr="00850F1A" w:rsidRDefault="00FD5B31" w:rsidP="00FD5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Картриджі після заправки або відновлення повинні бути чистими, з контрольними тестовими сторінками, </w:t>
      </w:r>
      <w:r w:rsidRPr="00850F1A">
        <w:rPr>
          <w:rFonts w:ascii="Times New Roman" w:eastAsia="Calibri" w:hAnsi="Times New Roman" w:cs="Times New Roman"/>
          <w:sz w:val="28"/>
          <w:szCs w:val="28"/>
          <w:lang w:val="uk-UA"/>
        </w:rPr>
        <w:t>на корпусі має міститись наклейка з інформацією про дату здійснення заправки/відновлення картриджа</w:t>
      </w:r>
      <w:r w:rsidRPr="00850F1A">
        <w:rPr>
          <w:rFonts w:ascii="Calibri" w:eastAsia="Calibri" w:hAnsi="Calibri" w:cs="Times New Roman"/>
          <w:lang w:val="uk-UA"/>
        </w:rPr>
        <w:t xml:space="preserve">  </w:t>
      </w:r>
      <w:r w:rsidRPr="00850F1A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упаковані окремо в нові світлонепроникні герметичні пакети, на яких зазначено конкретний тип картриджу і модель техніки.</w:t>
      </w:r>
    </w:p>
    <w:p w:rsidR="00FD5B31" w:rsidRPr="00850F1A" w:rsidRDefault="00FD5B31" w:rsidP="00FD5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5. При неякісній заправці або відновленні картриджів Виконавець усуває усі недоліки за свій рахунок. </w:t>
      </w:r>
    </w:p>
    <w:p w:rsidR="00FD5B31" w:rsidRPr="00850F1A" w:rsidRDefault="00FD5B31" w:rsidP="00FD5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6. У разі, якщо картридж не підлягає заправці або відновленню, Виконавець повинен надати Замовнику технічний висновок, в якому обґрунтовано вказується причина неможливості заправки або відновлення картриджу, за підписом працівника відповідної кваліфікації (компетентного спеціаліста) Виконавця.</w:t>
      </w:r>
    </w:p>
    <w:p w:rsidR="00FD5B31" w:rsidRPr="00850F1A" w:rsidRDefault="00FD5B31" w:rsidP="00FD5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7. Після заправки або відновлення картриджів повинно бути забезпечено стандартний об’єм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тонера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(згідно з технічних характеристик картриджів відповідно до стандартів  виробників обладнання),</w:t>
      </w:r>
      <w:r w:rsidRPr="00850F1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друк контрастний, з гарною передачею півтонів, без смуг і рисочок.                                                                                        </w:t>
      </w:r>
    </w:p>
    <w:p w:rsidR="00FD5B31" w:rsidRPr="00B54A3E" w:rsidRDefault="00FD5B31" w:rsidP="00FD5B3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A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Перелік картриджів до копіювально-розмножувальної техніки, </w:t>
      </w:r>
    </w:p>
    <w:p w:rsidR="00FD5B31" w:rsidRPr="00B54A3E" w:rsidRDefault="00FD5B31" w:rsidP="00FD5B3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A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які підлягають заправці та відновленню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4450"/>
        <w:gridCol w:w="3685"/>
        <w:gridCol w:w="1418"/>
      </w:tblGrid>
      <w:tr w:rsidR="00FD5B31" w:rsidRPr="00850F1A" w:rsidTr="00B54A3E">
        <w:trPr>
          <w:trHeight w:val="8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1" w:rsidRPr="00850F1A" w:rsidRDefault="00FD5B31" w:rsidP="00653EAD">
            <w:pPr>
              <w:spacing w:after="240" w:line="240" w:lineRule="auto"/>
              <w:ind w:left="-108" w:right="-16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0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1" w:rsidRPr="00850F1A" w:rsidRDefault="00FD5B31" w:rsidP="00653E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0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Модель пристрою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850F1A" w:rsidRDefault="00FD5B31" w:rsidP="00653E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0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Модель картриджа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850F1A" w:rsidRDefault="00FD5B31" w:rsidP="00653E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50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Кіл-ть</w:t>
            </w:r>
            <w:proofErr w:type="spellEnd"/>
          </w:p>
        </w:tc>
      </w:tr>
      <w:tr w:rsidR="00FD5B31" w:rsidRPr="00850F1A" w:rsidTr="00653EAD">
        <w:trPr>
          <w:trHeight w:val="5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850F1A" w:rsidRDefault="00FD5B31" w:rsidP="00653E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54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І.</w:t>
            </w:r>
            <w:r w:rsidRPr="00850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B54A3E" w:rsidRPr="00E25F0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послуг</w:t>
            </w:r>
            <w:r w:rsidR="002B746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а</w:t>
            </w:r>
            <w:r w:rsidR="00B54A3E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з </w:t>
            </w:r>
            <w:r w:rsidR="00B54A3E" w:rsidRPr="00E25F0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обслуговування організаційної техніки</w:t>
            </w:r>
            <w:r w:rsidR="00B54A3E" w:rsidRPr="00B54A3E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(</w:t>
            </w:r>
            <w:r w:rsidR="00B54A3E" w:rsidRPr="00B54A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заправка картриджів)</w:t>
            </w:r>
            <w:r w:rsidRPr="00B54A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</w:t>
            </w:r>
          </w:p>
        </w:tc>
      </w:tr>
      <w:tr w:rsidR="00FD5B31" w:rsidRPr="00850F1A" w:rsidTr="00653EA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Xerox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Phaser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3124 (3117/22)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106R01159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D5B31" w:rsidRPr="00850F1A" w:rsidTr="00653EA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 Jet M1005 MFP 1010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,1018,1022,3020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Q2612A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D5B31" w:rsidRPr="00850F1A" w:rsidTr="00653EA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Canon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4018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FX-10/104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B54A3E" w:rsidRDefault="00B54A3E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D5B31" w:rsidRPr="00850F1A" w:rsidTr="00653EA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Canon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MF 3010;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Canon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MF 4410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072EAA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FD5B31" w:rsidRPr="009E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FD5B31" w:rsidRPr="00072EAA" w:rsidRDefault="00072EAA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B54A3E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FD5B31" w:rsidRPr="00D61804" w:rsidTr="00653EA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 2020;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ML 1861/1866;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ML 2160/2165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MLT-D111;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MLT-D1043S;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MLT-D101S/SEE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B54A3E" w:rsidRDefault="00B54A3E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FD5B31" w:rsidRPr="00850F1A" w:rsidTr="00653EA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 2020  (з заміною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чіпа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MLT-D111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B54A3E" w:rsidRDefault="00B54A3E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D5B31" w:rsidRPr="00850F1A" w:rsidTr="00653EA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БФП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4828 (4824)FN;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БФП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SCX-4729FD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MLT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-209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MLT-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D103L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B54A3E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D5B31" w:rsidRPr="00850F1A" w:rsidTr="00653EA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БФП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 Jet Pro 500 M521dn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(6 000 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арк.)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LJ 279A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D5B31" w:rsidRPr="003146B3" w:rsidTr="00653EA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CLP -320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кольорові: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CLT-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407S/SEE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blac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k,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CLT-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407S/SEE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CLT-M407S/SEE magenta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CLT-Y407S/SEE yellow.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(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залежності 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 потреби Замовника)</w:t>
            </w:r>
          </w:p>
        </w:tc>
      </w:tr>
      <w:tr w:rsidR="00FD5B31" w:rsidRPr="00850F1A" w:rsidTr="00653EAD">
        <w:trPr>
          <w:trHeight w:val="426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Epson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L 805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кольорові:</w:t>
            </w:r>
          </w:p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С13Т67344А - Y – жовтий</w:t>
            </w:r>
          </w:p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С13Т67314А -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Bk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чорний</w:t>
            </w:r>
          </w:p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С13Т67354А - LC –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світло-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блакитний</w:t>
            </w:r>
          </w:p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С13Т67364А - LM - світло-пурпурний</w:t>
            </w:r>
          </w:p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С13Т67334А - M – пурпурний</w:t>
            </w:r>
          </w:p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С13Т67324А - C - блакитний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1" w:rsidRPr="009E153C" w:rsidRDefault="00FD5B31" w:rsidP="00653E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(колір в залежності від потреби Замовника)</w:t>
            </w:r>
          </w:p>
        </w:tc>
      </w:tr>
      <w:tr w:rsidR="00FD5B31" w:rsidRPr="00850F1A" w:rsidTr="0037149D">
        <w:trPr>
          <w:trHeight w:val="60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БФП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Epson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 1170, 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M3170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(Epson 110)</w:t>
            </w:r>
          </w:p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Black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чорний</w:t>
            </w:r>
          </w:p>
          <w:p w:rsidR="00FD5B31" w:rsidRPr="009E153C" w:rsidRDefault="00FD5B31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B54A3E" w:rsidRDefault="00B54A3E" w:rsidP="00653E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7149D" w:rsidRPr="00850F1A" w:rsidTr="0037149D">
        <w:trPr>
          <w:trHeight w:val="9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149D" w:rsidRPr="009E153C" w:rsidRDefault="0037149D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49D" w:rsidRPr="009E153C" w:rsidRDefault="0037149D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БФП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 4150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149D" w:rsidRPr="00B54A3E" w:rsidRDefault="0037149D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(Epson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101)</w:t>
            </w:r>
          </w:p>
          <w:p w:rsidR="0037149D" w:rsidRPr="009E153C" w:rsidRDefault="0037149D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Black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чорний,</w:t>
            </w:r>
          </w:p>
          <w:p w:rsidR="0037149D" w:rsidRPr="009E153C" w:rsidRDefault="0037149D" w:rsidP="003714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49D" w:rsidRPr="009E153C" w:rsidRDefault="0037149D" w:rsidP="0037149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</w:p>
        </w:tc>
      </w:tr>
      <w:tr w:rsidR="0037149D" w:rsidRPr="00850F1A" w:rsidTr="0037149D">
        <w:trPr>
          <w:trHeight w:val="9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149D" w:rsidRPr="0037149D" w:rsidRDefault="0037149D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49D" w:rsidRPr="009E153C" w:rsidRDefault="0037149D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4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БФП </w:t>
            </w:r>
            <w:proofErr w:type="spellStart"/>
            <w:r w:rsidRPr="003714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Epson</w:t>
            </w:r>
            <w:proofErr w:type="spellEnd"/>
            <w:r w:rsidRPr="00371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 4150 (</w:t>
            </w:r>
            <w:r w:rsidRPr="003714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кольоровий)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149D" w:rsidRPr="00B54A3E" w:rsidRDefault="0037149D" w:rsidP="0037149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(Epson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101)</w:t>
            </w:r>
          </w:p>
          <w:p w:rsidR="0037149D" w:rsidRPr="009E153C" w:rsidRDefault="0037149D" w:rsidP="0037149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Yellow – 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жовтий,</w:t>
            </w:r>
          </w:p>
          <w:p w:rsidR="0037149D" w:rsidRPr="009E153C" w:rsidRDefault="0037149D" w:rsidP="0037149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Cyan – 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синій,</w:t>
            </w:r>
          </w:p>
          <w:p w:rsidR="0037149D" w:rsidRPr="009E153C" w:rsidRDefault="0037149D" w:rsidP="003714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Margenta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червоний</w:t>
            </w:r>
          </w:p>
          <w:p w:rsidR="0037149D" w:rsidRDefault="0037149D" w:rsidP="00653E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49D" w:rsidRPr="009E153C" w:rsidRDefault="0037149D" w:rsidP="00653E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(колір в  залежності від потреби Замовника)</w:t>
            </w:r>
          </w:p>
        </w:tc>
      </w:tr>
      <w:tr w:rsidR="00FD5B31" w:rsidRPr="00850F1A" w:rsidTr="00653EA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37149D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86</w:t>
            </w:r>
          </w:p>
        </w:tc>
      </w:tr>
      <w:tr w:rsidR="00FD5B31" w:rsidRPr="00850F1A" w:rsidTr="00653EAD">
        <w:trPr>
          <w:trHeight w:val="4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37149D" w:rsidP="00653E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ІІ. </w:t>
            </w:r>
            <w:r w:rsidRPr="00E25F0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послуг</w:t>
            </w:r>
            <w:r w:rsidR="002B7461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з </w:t>
            </w:r>
            <w:r w:rsidRPr="00E25F0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обслуговування організаційної техніки</w:t>
            </w:r>
            <w:r w:rsidRPr="00EF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8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відновлення картриджів)</w:t>
            </w:r>
            <w:r w:rsidR="00FD5B31" w:rsidRPr="009E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FD5B31" w:rsidRPr="00850F1A" w:rsidTr="00B54A3E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Xerox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Phaser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3124 (3117/22)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106R01159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37149D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D5B31" w:rsidRPr="00A01D3F" w:rsidTr="00B54A3E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 Jet M1005 MFP 1010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,1018,1022,3020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Q2612A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37149D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D5B31" w:rsidRPr="00850F1A" w:rsidTr="00B54A3E">
        <w:trPr>
          <w:trHeight w:val="144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Canon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4018і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Canon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MF 3010;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Canon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MF 4410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FX-10/104</w:t>
            </w:r>
            <w:r w:rsidRPr="009E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FD5B31" w:rsidRPr="009E153C" w:rsidRDefault="0077700F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FD5B31" w:rsidRPr="009E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FD5B31" w:rsidRPr="0077700F" w:rsidRDefault="0077700F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D5B31" w:rsidRPr="009E153C" w:rsidRDefault="0037149D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20</w:t>
            </w:r>
          </w:p>
        </w:tc>
      </w:tr>
      <w:tr w:rsidR="00FD5B31" w:rsidRPr="00850F1A" w:rsidTr="00B54A3E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 2020;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ML 1861/1866;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ML 2160/2165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MLT-D111;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MLT-D1043S;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MLT-D101S/SEE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37149D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D5B31" w:rsidRPr="005F32A7" w:rsidTr="00B54A3E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Принтер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 2020  (з заміною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чіпа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MLT-D111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D5B31" w:rsidRPr="005F32A7" w:rsidTr="00B54A3E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БФП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4828(4824)FN;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БФП </w:t>
            </w:r>
            <w:proofErr w:type="spellStart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SCX-4729FD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MLT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-209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MLT-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D103L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37149D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D5B31" w:rsidRPr="005F32A7" w:rsidTr="00B54A3E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БФП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 Jet Pro 500 M521dn</w:t>
            </w:r>
          </w:p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(6 000 </w:t>
            </w: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арк.)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B31" w:rsidRPr="009E153C" w:rsidRDefault="00FD5B31" w:rsidP="00653EAD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LJ 279A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37149D" w:rsidP="00653EA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D5B31" w:rsidRPr="00850F1A" w:rsidTr="00B54A3E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B31" w:rsidRPr="009E153C" w:rsidRDefault="00FD5B31" w:rsidP="00653EAD">
            <w:p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E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B31" w:rsidRPr="009E153C" w:rsidRDefault="00FD5B31" w:rsidP="00653EAD">
            <w:p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1" w:rsidRPr="009E153C" w:rsidRDefault="0037149D" w:rsidP="00653EAD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</w:t>
            </w:r>
          </w:p>
        </w:tc>
      </w:tr>
    </w:tbl>
    <w:p w:rsidR="00FD5B31" w:rsidRPr="00850F1A" w:rsidRDefault="00FD5B31" w:rsidP="00FD5B3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5B31" w:rsidRPr="00850F1A" w:rsidRDefault="00FD5B31" w:rsidP="00FD5B3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F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Вимоги до Виконавця</w:t>
      </w:r>
      <w:r w:rsidRPr="00850F1A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      </w:t>
      </w:r>
    </w:p>
    <w:p w:rsidR="00FD5B31" w:rsidRPr="00850F1A" w:rsidRDefault="00FD5B31" w:rsidP="00FD5B3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50F1A">
        <w:rPr>
          <w:rFonts w:ascii="Times New Roman" w:eastAsia="Calibri" w:hAnsi="Times New Roman" w:cs="Times New Roman"/>
          <w:sz w:val="28"/>
          <w:szCs w:val="28"/>
          <w:lang w:val="uk-UA"/>
        </w:rPr>
        <w:t>Заправка та відновлення картриджів здійснюється протягом одного робочого дня з дня отримання заявки від Замовника. Послуги виконуються на території Виконавця.</w:t>
      </w:r>
      <w:r w:rsidRPr="00850F1A">
        <w:rPr>
          <w:rFonts w:ascii="Calibri" w:eastAsia="Calibri" w:hAnsi="Calibri" w:cs="Times New Roman"/>
        </w:rPr>
        <w:t xml:space="preserve"> </w:t>
      </w:r>
      <w:r w:rsidRPr="00850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Доставка картриджів до місця надання послуг та в </w:t>
      </w:r>
      <w:proofErr w:type="spellStart"/>
      <w:r w:rsidRPr="00850F1A">
        <w:rPr>
          <w:rFonts w:ascii="Times New Roman" w:eastAsia="Calibri" w:hAnsi="Times New Roman" w:cs="Times New Roman"/>
          <w:sz w:val="28"/>
          <w:szCs w:val="28"/>
          <w:lang w:val="uk-UA"/>
        </w:rPr>
        <w:t>зворотньому</w:t>
      </w:r>
      <w:proofErr w:type="spellEnd"/>
      <w:r w:rsidRPr="00850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напрямку здійснюється транспортом Виконавця та за його рахунок. Виконавець забезпечує цілісність та неушкодженість картриджів при транспортуванні.</w:t>
      </w:r>
    </w:p>
    <w:p w:rsidR="00FD5B31" w:rsidRPr="00850F1A" w:rsidRDefault="00FD5B31" w:rsidP="00FD5B3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0F1A">
        <w:rPr>
          <w:rFonts w:ascii="Times New Roman" w:eastAsia="Calibri" w:hAnsi="Times New Roman" w:cs="Times New Roman"/>
          <w:sz w:val="28"/>
          <w:szCs w:val="28"/>
          <w:lang w:val="uk-UA"/>
        </w:rPr>
        <w:t>Послуги із заправки та відновлення картриджів надаються відповідно до технічних</w:t>
      </w:r>
      <w:r w:rsidRPr="00850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F1A">
        <w:rPr>
          <w:rFonts w:ascii="Times New Roman" w:eastAsia="Calibri" w:hAnsi="Times New Roman" w:cs="Times New Roman"/>
          <w:sz w:val="28"/>
          <w:szCs w:val="28"/>
          <w:lang w:val="uk-UA"/>
        </w:rPr>
        <w:t>характеристик</w:t>
      </w:r>
      <w:r w:rsidRPr="00850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F1A">
        <w:rPr>
          <w:rFonts w:ascii="Times New Roman" w:eastAsia="Calibri" w:hAnsi="Times New Roman" w:cs="Times New Roman"/>
          <w:sz w:val="28"/>
          <w:szCs w:val="28"/>
          <w:lang w:val="uk-UA"/>
        </w:rPr>
        <w:t>конкретного зразка копіювально-розмножувальної техніки. Заміна отриманого картриджа Замовника на аналогічний картридж Виконавця не допускається.</w:t>
      </w:r>
    </w:p>
    <w:p w:rsidR="00FD5B31" w:rsidRPr="00850F1A" w:rsidRDefault="00FD5B31" w:rsidP="00FD5B3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0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та кількість конкретної партії картриджів для заправки та відновлення буде визначатися в процесі надання послуг згідно наданих Замовником заявок, але не більше загальної кількості, зазначеної в Переліку картриджів до копіювально-розмножувальної техніки, які підлягають заправці та відновленню.</w:t>
      </w:r>
    </w:p>
    <w:p w:rsidR="00FD5B31" w:rsidRPr="00850F1A" w:rsidRDefault="00FD5B31" w:rsidP="00FD5B3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Відповідальність за виконання вимог екологічної безпеки та вимог із забезпечення вимог техніки безпеки при виконанні послуг несе Виконавець.</w:t>
      </w:r>
    </w:p>
    <w:p w:rsidR="00FD5B31" w:rsidRPr="00850F1A" w:rsidRDefault="00FD5B31" w:rsidP="00FD5B3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Якість послуг повинна відповідати вимогам діючого законодавства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щодо безпечності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</w:rPr>
        <w:t>заходів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</w:rPr>
        <w:t>із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</w:rPr>
        <w:t>захисту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8"/>
          <w:szCs w:val="28"/>
        </w:rPr>
        <w:t>довкілля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D5B31" w:rsidRPr="00850F1A" w:rsidRDefault="00FD5B31" w:rsidP="00FD5B3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кожну партію заправлених картриджів надається Акт приймання - передачі наданих послуг</w:t>
      </w:r>
      <w:r w:rsidRPr="00850F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D5B31" w:rsidRPr="00850F1A" w:rsidRDefault="00FD5B31" w:rsidP="00FD5B31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850F1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</w:p>
    <w:p w:rsidR="00653EAD" w:rsidRPr="00FD5B31" w:rsidRDefault="00653EAD">
      <w:pPr>
        <w:rPr>
          <w:lang w:val="uk-UA"/>
        </w:rPr>
      </w:pPr>
    </w:p>
    <w:sectPr w:rsidR="00653EAD" w:rsidRPr="00FD5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121"/>
    <w:multiLevelType w:val="hybridMultilevel"/>
    <w:tmpl w:val="26888322"/>
    <w:lvl w:ilvl="0" w:tplc="0422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>
    <w:nsid w:val="4AAD178B"/>
    <w:multiLevelType w:val="hybridMultilevel"/>
    <w:tmpl w:val="80828BC6"/>
    <w:lvl w:ilvl="0" w:tplc="042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0E6CE96">
      <w:numFmt w:val="bullet"/>
      <w:lvlText w:val="-"/>
      <w:lvlJc w:val="left"/>
      <w:pPr>
        <w:ind w:left="3053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">
    <w:nsid w:val="61C32ECC"/>
    <w:multiLevelType w:val="hybridMultilevel"/>
    <w:tmpl w:val="28606E30"/>
    <w:lvl w:ilvl="0" w:tplc="AB601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31"/>
    <w:rsid w:val="00072EAA"/>
    <w:rsid w:val="002B7461"/>
    <w:rsid w:val="0037149D"/>
    <w:rsid w:val="0058627F"/>
    <w:rsid w:val="00653EAD"/>
    <w:rsid w:val="00684E19"/>
    <w:rsid w:val="0077700F"/>
    <w:rsid w:val="00B54A3E"/>
    <w:rsid w:val="00E70A17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3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3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5331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buh11</dc:creator>
  <cp:lastModifiedBy>buh11</cp:lastModifiedBy>
  <cp:revision>4</cp:revision>
  <dcterms:created xsi:type="dcterms:W3CDTF">2022-01-10T12:01:00Z</dcterms:created>
  <dcterms:modified xsi:type="dcterms:W3CDTF">2022-06-20T08:58:00Z</dcterms:modified>
</cp:coreProperties>
</file>