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4D" w:rsidRPr="0097244A" w:rsidRDefault="00497D4D" w:rsidP="0022430B">
      <w:pPr>
        <w:jc w:val="center"/>
        <w:textAlignment w:val="top"/>
        <w:rPr>
          <w:b/>
        </w:rPr>
      </w:pPr>
      <w:r w:rsidRPr="0097244A">
        <w:rPr>
          <w:b/>
        </w:rPr>
        <w:t xml:space="preserve">Оголошення про проведення відкритих торгів </w:t>
      </w:r>
    </w:p>
    <w:p w:rsidR="00497D4D" w:rsidRPr="0097244A" w:rsidRDefault="00497D4D" w:rsidP="0022430B">
      <w:pPr>
        <w:jc w:val="center"/>
        <w:textAlignment w:val="top"/>
        <w:rPr>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14"/>
        <w:gridCol w:w="6222"/>
      </w:tblGrid>
      <w:tr w:rsidR="00497D4D" w:rsidRPr="00D20BE6" w:rsidTr="0067051C">
        <w:tc>
          <w:tcPr>
            <w:tcW w:w="3714" w:type="dxa"/>
            <w:vAlign w:val="center"/>
          </w:tcPr>
          <w:p w:rsidR="00497D4D" w:rsidRPr="0097244A" w:rsidRDefault="00497D4D" w:rsidP="00124305">
            <w:pPr>
              <w:spacing w:after="120"/>
              <w:textAlignment w:val="top"/>
              <w:rPr>
                <w:bCs/>
              </w:rPr>
            </w:pPr>
            <w:r w:rsidRPr="0097244A">
              <w:rPr>
                <w:bCs/>
              </w:rPr>
              <w:t>1. Найменування замовника:</w:t>
            </w:r>
          </w:p>
        </w:tc>
        <w:tc>
          <w:tcPr>
            <w:tcW w:w="6222" w:type="dxa"/>
            <w:vAlign w:val="center"/>
          </w:tcPr>
          <w:p w:rsidR="00497D4D" w:rsidRPr="0048576C" w:rsidRDefault="00497D4D" w:rsidP="008C5DEB">
            <w:pPr>
              <w:jc w:val="both"/>
              <w:rPr>
                <w:lang w:eastAsia="ru-RU"/>
              </w:rPr>
            </w:pPr>
            <w:r w:rsidRPr="0048576C">
              <w:rPr>
                <w:bCs/>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r>
      <w:tr w:rsidR="00497D4D" w:rsidRPr="00D20BE6" w:rsidTr="00453B2A">
        <w:tc>
          <w:tcPr>
            <w:tcW w:w="3714" w:type="dxa"/>
            <w:vAlign w:val="center"/>
          </w:tcPr>
          <w:p w:rsidR="00497D4D" w:rsidRPr="0097244A" w:rsidRDefault="00497D4D" w:rsidP="00124305">
            <w:pPr>
              <w:spacing w:after="120"/>
              <w:textAlignment w:val="top"/>
              <w:rPr>
                <w:bCs/>
              </w:rPr>
            </w:pPr>
            <w:r w:rsidRPr="0097244A">
              <w:rPr>
                <w:bCs/>
              </w:rPr>
              <w:t>1</w:t>
            </w:r>
            <w:r w:rsidRPr="0097244A">
              <w:rPr>
                <w:bCs/>
                <w:vertAlign w:val="superscript"/>
              </w:rPr>
              <w:t>1</w:t>
            </w:r>
            <w:r w:rsidRPr="0097244A">
              <w:rPr>
                <w:bCs/>
              </w:rPr>
              <w:t>. Місцезнаходження замовника:</w:t>
            </w:r>
          </w:p>
        </w:tc>
        <w:tc>
          <w:tcPr>
            <w:tcW w:w="6222" w:type="dxa"/>
            <w:vAlign w:val="center"/>
          </w:tcPr>
          <w:p w:rsidR="00497D4D" w:rsidRPr="0048576C" w:rsidRDefault="00497D4D" w:rsidP="00A6349C">
            <w:pPr>
              <w:jc w:val="both"/>
              <w:rPr>
                <w:rFonts w:cs="Calibri"/>
              </w:rPr>
            </w:pPr>
            <w:r w:rsidRPr="0048576C">
              <w:rPr>
                <w:rFonts w:cs="Calibri"/>
              </w:rPr>
              <w:t>Юридична адреса: 29009, Україна, м. Хмельницький, вул. Пілотська, 1</w:t>
            </w:r>
          </w:p>
          <w:p w:rsidR="00497D4D" w:rsidRPr="0048576C" w:rsidRDefault="00497D4D" w:rsidP="00A6349C">
            <w:pPr>
              <w:jc w:val="both"/>
              <w:rPr>
                <w:lang w:eastAsia="ru-RU"/>
              </w:rPr>
            </w:pPr>
            <w:r w:rsidRPr="0048576C">
              <w:rPr>
                <w:rFonts w:cs="Calibri"/>
              </w:rPr>
              <w:t>Фактична адреса: 29008, Україна, м. Хмельницький, вул. Депутатська, 20.</w:t>
            </w:r>
          </w:p>
        </w:tc>
      </w:tr>
      <w:tr w:rsidR="00497D4D" w:rsidRPr="00D20BE6" w:rsidTr="00453B2A">
        <w:tc>
          <w:tcPr>
            <w:tcW w:w="3714" w:type="dxa"/>
            <w:vAlign w:val="center"/>
          </w:tcPr>
          <w:p w:rsidR="00497D4D" w:rsidRPr="0097244A" w:rsidRDefault="00497D4D" w:rsidP="00A96B26">
            <w:pPr>
              <w:spacing w:after="120"/>
              <w:textAlignment w:val="top"/>
              <w:rPr>
                <w:bCs/>
              </w:rPr>
            </w:pPr>
            <w:r w:rsidRPr="0097244A">
              <w:rPr>
                <w:bCs/>
              </w:rPr>
              <w:t>1</w:t>
            </w:r>
            <w:r w:rsidRPr="0097244A">
              <w:rPr>
                <w:bCs/>
                <w:vertAlign w:val="superscript"/>
              </w:rPr>
              <w:t>2</w:t>
            </w:r>
            <w:r w:rsidRPr="0097244A">
              <w:rPr>
                <w:bCs/>
              </w:rPr>
              <w:t>. Код згідно з ЄДРПОУ замовника:</w:t>
            </w:r>
          </w:p>
        </w:tc>
        <w:tc>
          <w:tcPr>
            <w:tcW w:w="6222" w:type="dxa"/>
            <w:vAlign w:val="center"/>
          </w:tcPr>
          <w:p w:rsidR="00497D4D" w:rsidRPr="0048576C" w:rsidRDefault="00497D4D" w:rsidP="008C5DEB">
            <w:pPr>
              <w:jc w:val="both"/>
              <w:rPr>
                <w:lang w:eastAsia="ru-RU"/>
              </w:rPr>
            </w:pPr>
            <w:r w:rsidRPr="0048576C">
              <w:t>26514713</w:t>
            </w:r>
          </w:p>
        </w:tc>
      </w:tr>
      <w:tr w:rsidR="00497D4D" w:rsidRPr="00D20BE6" w:rsidTr="00453B2A">
        <w:tc>
          <w:tcPr>
            <w:tcW w:w="3714" w:type="dxa"/>
            <w:vAlign w:val="center"/>
          </w:tcPr>
          <w:p w:rsidR="00497D4D" w:rsidRPr="0097244A" w:rsidRDefault="00497D4D" w:rsidP="00A96B26">
            <w:pPr>
              <w:spacing w:after="120"/>
              <w:textAlignment w:val="top"/>
              <w:rPr>
                <w:bCs/>
              </w:rPr>
            </w:pPr>
            <w:r w:rsidRPr="0097244A">
              <w:rPr>
                <w:bCs/>
              </w:rPr>
              <w:t>1</w:t>
            </w:r>
            <w:r w:rsidRPr="0097244A">
              <w:rPr>
                <w:bCs/>
                <w:vertAlign w:val="superscript"/>
              </w:rPr>
              <w:t>3</w:t>
            </w:r>
            <w:r w:rsidRPr="0097244A">
              <w:rPr>
                <w:bCs/>
              </w:rPr>
              <w:t>. Категорія замовника:</w:t>
            </w:r>
          </w:p>
        </w:tc>
        <w:tc>
          <w:tcPr>
            <w:tcW w:w="6222" w:type="dxa"/>
            <w:vAlign w:val="center"/>
          </w:tcPr>
          <w:p w:rsidR="00497D4D" w:rsidRPr="0048576C" w:rsidRDefault="00497D4D" w:rsidP="008C5DEB">
            <w:pPr>
              <w:jc w:val="both"/>
              <w:rPr>
                <w:lang w:eastAsia="ru-RU"/>
              </w:rPr>
            </w:pPr>
            <w:r w:rsidRPr="0048576C">
              <w:t>Підприємства, установи, організації, зазначені у пункті 3 частини першої статті 2 Закону України «Про публічні закупівлі»</w:t>
            </w:r>
          </w:p>
        </w:tc>
      </w:tr>
      <w:tr w:rsidR="00497D4D" w:rsidRPr="00D20BE6" w:rsidTr="00453B2A">
        <w:tc>
          <w:tcPr>
            <w:tcW w:w="3714" w:type="dxa"/>
            <w:vAlign w:val="center"/>
          </w:tcPr>
          <w:p w:rsidR="00497D4D" w:rsidRPr="0097244A" w:rsidRDefault="00497D4D" w:rsidP="00EC1376">
            <w:pPr>
              <w:spacing w:after="120"/>
              <w:textAlignment w:val="top"/>
              <w:rPr>
                <w:bCs/>
              </w:rPr>
            </w:pPr>
            <w:r w:rsidRPr="0097244A">
              <w:rPr>
                <w:bCs/>
              </w:rPr>
              <w:t>2. Назва предмету закупівлі :</w:t>
            </w:r>
          </w:p>
        </w:tc>
        <w:tc>
          <w:tcPr>
            <w:tcW w:w="6222" w:type="dxa"/>
            <w:vAlign w:val="center"/>
          </w:tcPr>
          <w:p w:rsidR="00497D4D" w:rsidRPr="0048576C" w:rsidRDefault="008001F0" w:rsidP="00D333F0">
            <w:pPr>
              <w:jc w:val="both"/>
              <w:rPr>
                <w:color w:val="000000"/>
              </w:rPr>
            </w:pPr>
            <w:r w:rsidRPr="008001F0">
              <w:t xml:space="preserve">-  </w:t>
            </w:r>
            <w:r w:rsidRPr="008001F0">
              <w:rPr>
                <w:rFonts w:eastAsia="Calibri"/>
                <w:lang w:eastAsia="zh-CN"/>
              </w:rPr>
              <w:t xml:space="preserve">код ДК 021: 2015- 34350000-5 – «Шини для транспортних засобів великої та малої тоннажності» </w:t>
            </w:r>
            <w:r w:rsidRPr="008001F0">
              <w:t>(34351100-3 - Автомобільні шини)</w:t>
            </w:r>
          </w:p>
        </w:tc>
      </w:tr>
      <w:tr w:rsidR="00497D4D" w:rsidRPr="00D20BE6" w:rsidTr="00453B2A">
        <w:tc>
          <w:tcPr>
            <w:tcW w:w="3714" w:type="dxa"/>
            <w:vAlign w:val="center"/>
          </w:tcPr>
          <w:p w:rsidR="00497D4D" w:rsidRPr="0097244A" w:rsidRDefault="00497D4D" w:rsidP="00EC1376">
            <w:pPr>
              <w:spacing w:after="120"/>
              <w:jc w:val="both"/>
              <w:textAlignment w:val="top"/>
              <w:rPr>
                <w:bCs/>
              </w:rPr>
            </w:pPr>
            <w:r w:rsidRPr="0097244A">
              <w:rPr>
                <w:bCs/>
              </w:rPr>
              <w:t>3. Кількість товарів або обсяг виконання робіт чи надання послуг:</w:t>
            </w:r>
          </w:p>
        </w:tc>
        <w:tc>
          <w:tcPr>
            <w:tcW w:w="6222" w:type="dxa"/>
            <w:vAlign w:val="center"/>
          </w:tcPr>
          <w:p w:rsidR="00497D4D" w:rsidRPr="0048576C" w:rsidRDefault="008001F0" w:rsidP="00BD1F80">
            <w:pPr>
              <w:suppressAutoHyphens/>
              <w:spacing w:after="200" w:line="100" w:lineRule="atLeast"/>
              <w:ind w:firstLine="448"/>
            </w:pPr>
            <w:r w:rsidRPr="008001F0">
              <w:t xml:space="preserve">-  </w:t>
            </w:r>
            <w:r w:rsidRPr="008001F0">
              <w:rPr>
                <w:rFonts w:eastAsia="Calibri"/>
                <w:lang w:eastAsia="zh-CN"/>
              </w:rPr>
              <w:t xml:space="preserve">код ДК 021: 2015- 34350000-5 – «Шини для транспортних засобів великої та малої тоннажності» </w:t>
            </w:r>
            <w:r w:rsidRPr="008001F0">
              <w:t xml:space="preserve">(34351100-3 - Автомобільні </w:t>
            </w:r>
            <w:r w:rsidRPr="008B04A3">
              <w:t>шини)</w:t>
            </w:r>
            <w:r w:rsidR="00B756B1" w:rsidRPr="008B04A3">
              <w:t xml:space="preserve"> -6</w:t>
            </w:r>
            <w:r w:rsidR="007B2E86" w:rsidRPr="008B04A3">
              <w:t>4</w:t>
            </w:r>
            <w:r w:rsidRPr="008B04A3">
              <w:t xml:space="preserve"> штук</w:t>
            </w:r>
          </w:p>
        </w:tc>
      </w:tr>
      <w:tr w:rsidR="00497D4D" w:rsidRPr="00D20BE6" w:rsidTr="00453B2A">
        <w:tc>
          <w:tcPr>
            <w:tcW w:w="3714" w:type="dxa"/>
            <w:vAlign w:val="center"/>
          </w:tcPr>
          <w:p w:rsidR="00497D4D" w:rsidRPr="0097244A" w:rsidRDefault="00497D4D" w:rsidP="00EC1376">
            <w:pPr>
              <w:spacing w:after="120"/>
              <w:jc w:val="both"/>
              <w:textAlignment w:val="top"/>
              <w:rPr>
                <w:bCs/>
              </w:rPr>
            </w:pPr>
            <w:r w:rsidRPr="0097244A">
              <w:rPr>
                <w:bCs/>
              </w:rPr>
              <w:t>3</w:t>
            </w:r>
            <w:r w:rsidRPr="0097244A">
              <w:rPr>
                <w:bCs/>
                <w:vertAlign w:val="superscript"/>
              </w:rPr>
              <w:t>1</w:t>
            </w:r>
            <w:r w:rsidRPr="0097244A">
              <w:rPr>
                <w:bCs/>
              </w:rPr>
              <w:t>. Місце поставки товарів або місце виконання робіт чи надання послуг:</w:t>
            </w:r>
          </w:p>
        </w:tc>
        <w:tc>
          <w:tcPr>
            <w:tcW w:w="6222" w:type="dxa"/>
            <w:vAlign w:val="center"/>
          </w:tcPr>
          <w:p w:rsidR="00497D4D" w:rsidRPr="005E4458" w:rsidRDefault="002B6020" w:rsidP="008001F0">
            <w:pPr>
              <w:jc w:val="both"/>
            </w:pPr>
            <w:r w:rsidRPr="005E4458">
              <w:rPr>
                <w:rFonts w:ascii="Times New Roman CYR" w:hAnsi="Times New Roman CYR" w:cs="Times New Roman CYR"/>
                <w:lang w:eastAsia="zh-CN"/>
              </w:rPr>
              <w:t xml:space="preserve">       </w:t>
            </w:r>
            <w:r w:rsidR="008001F0" w:rsidRPr="005E4458">
              <w:rPr>
                <w:lang w:eastAsia="ru-RU"/>
              </w:rPr>
              <w:t>Місце поставки товарів: 29008, Україна, м. Хмельницький, вул. Депутатська, 20.</w:t>
            </w:r>
            <w:r w:rsidR="007B2E86" w:rsidRPr="007B2E86">
              <w:rPr>
                <w:color w:val="000000"/>
                <w:lang w:eastAsia="ru-RU"/>
              </w:rPr>
              <w:t xml:space="preserve"> </w:t>
            </w:r>
            <w:r w:rsidR="007B2E86" w:rsidRPr="007B2E86">
              <w:rPr>
                <w:color w:val="000000"/>
                <w:lang w:eastAsia="ru-RU"/>
              </w:rPr>
              <w:t>Поставка товару за рахунок Постачальника в робочі години.</w:t>
            </w:r>
          </w:p>
        </w:tc>
      </w:tr>
      <w:tr w:rsidR="00497D4D" w:rsidRPr="00D20BE6" w:rsidTr="00453B2A">
        <w:tc>
          <w:tcPr>
            <w:tcW w:w="3714" w:type="dxa"/>
            <w:vAlign w:val="center"/>
          </w:tcPr>
          <w:p w:rsidR="00497D4D" w:rsidRPr="0097244A" w:rsidRDefault="00497D4D" w:rsidP="00EC1376">
            <w:pPr>
              <w:spacing w:after="120"/>
              <w:jc w:val="both"/>
              <w:textAlignment w:val="top"/>
              <w:rPr>
                <w:bCs/>
              </w:rPr>
            </w:pPr>
            <w:r w:rsidRPr="0097244A">
              <w:rPr>
                <w:bCs/>
              </w:rPr>
              <w:t>4. Очікувана вартість закупівлі:</w:t>
            </w:r>
          </w:p>
        </w:tc>
        <w:tc>
          <w:tcPr>
            <w:tcW w:w="6222" w:type="dxa"/>
            <w:vAlign w:val="center"/>
          </w:tcPr>
          <w:p w:rsidR="008001F0" w:rsidRPr="008001F0" w:rsidRDefault="00081274" w:rsidP="001723E5">
            <w:pPr>
              <w:shd w:val="clear" w:color="auto" w:fill="FFFFFF"/>
              <w:suppressAutoHyphens/>
              <w:textAlignment w:val="baseline"/>
              <w:rPr>
                <w:lang w:eastAsia="ar-SA"/>
              </w:rPr>
            </w:pPr>
            <w:r w:rsidRPr="008B04A3">
              <w:rPr>
                <w:lang w:val="ru-RU" w:eastAsia="ar-SA"/>
              </w:rPr>
              <w:t>300</w:t>
            </w:r>
            <w:r w:rsidR="008001F0" w:rsidRPr="008B04A3">
              <w:rPr>
                <w:lang w:eastAsia="ar-SA"/>
              </w:rPr>
              <w:t xml:space="preserve"> </w:t>
            </w:r>
            <w:r w:rsidRPr="008B04A3">
              <w:rPr>
                <w:lang w:val="ru-RU" w:eastAsia="ar-SA"/>
              </w:rPr>
              <w:t>8</w:t>
            </w:r>
            <w:r w:rsidRPr="008B04A3">
              <w:rPr>
                <w:lang w:eastAsia="ar-SA"/>
              </w:rPr>
              <w:t xml:space="preserve">00,00 грн.   ( Триста </w:t>
            </w:r>
            <w:r w:rsidR="008001F0" w:rsidRPr="008B04A3">
              <w:rPr>
                <w:lang w:eastAsia="ar-SA"/>
              </w:rPr>
              <w:t xml:space="preserve"> тисяч</w:t>
            </w:r>
            <w:r w:rsidRPr="008B04A3">
              <w:rPr>
                <w:lang w:eastAsia="ar-SA"/>
              </w:rPr>
              <w:t xml:space="preserve"> вісімсот</w:t>
            </w:r>
            <w:r w:rsidR="008001F0" w:rsidRPr="008B04A3">
              <w:rPr>
                <w:lang w:eastAsia="ar-SA"/>
              </w:rPr>
              <w:t xml:space="preserve"> гривень  00  коп.)   з ПДВ.</w:t>
            </w:r>
          </w:p>
          <w:p w:rsidR="00497D4D" w:rsidRPr="00A44D84" w:rsidRDefault="00497D4D" w:rsidP="00BD1F80">
            <w:pPr>
              <w:shd w:val="clear" w:color="auto" w:fill="FFFFFF"/>
              <w:suppressAutoHyphens/>
              <w:ind w:firstLine="450"/>
              <w:textAlignment w:val="baseline"/>
            </w:pPr>
          </w:p>
        </w:tc>
      </w:tr>
      <w:tr w:rsidR="00497D4D" w:rsidRPr="00D20BE6" w:rsidTr="00453B2A">
        <w:tc>
          <w:tcPr>
            <w:tcW w:w="3714" w:type="dxa"/>
            <w:vAlign w:val="center"/>
          </w:tcPr>
          <w:p w:rsidR="00497D4D" w:rsidRPr="0097244A" w:rsidRDefault="00497D4D" w:rsidP="00EC1376">
            <w:pPr>
              <w:spacing w:after="120"/>
              <w:jc w:val="both"/>
              <w:textAlignment w:val="top"/>
              <w:rPr>
                <w:bCs/>
              </w:rPr>
            </w:pPr>
            <w:r w:rsidRPr="0097244A">
              <w:rPr>
                <w:bCs/>
              </w:rPr>
              <w:t>5. Строк поставки товарів, виконання робіт чи надання послуг:</w:t>
            </w:r>
          </w:p>
        </w:tc>
        <w:tc>
          <w:tcPr>
            <w:tcW w:w="6222" w:type="dxa"/>
            <w:vAlign w:val="center"/>
          </w:tcPr>
          <w:p w:rsidR="00497D4D" w:rsidRDefault="008001F0" w:rsidP="00E90FD9">
            <w:pPr>
              <w:jc w:val="both"/>
              <w:rPr>
                <w:bCs/>
              </w:rPr>
            </w:pPr>
            <w:r w:rsidRPr="0097244A">
              <w:rPr>
                <w:bCs/>
              </w:rPr>
              <w:t>Строк поставки товарів</w:t>
            </w:r>
            <w:r>
              <w:rPr>
                <w:bCs/>
              </w:rPr>
              <w:t xml:space="preserve"> - до 2</w:t>
            </w:r>
            <w:r w:rsidR="00081274">
              <w:rPr>
                <w:bCs/>
              </w:rPr>
              <w:t>5</w:t>
            </w:r>
            <w:r>
              <w:rPr>
                <w:bCs/>
              </w:rPr>
              <w:t xml:space="preserve"> листопада 2022 року</w:t>
            </w:r>
          </w:p>
          <w:p w:rsidR="008001F0" w:rsidRPr="00A44D84" w:rsidRDefault="008001F0" w:rsidP="00E90FD9">
            <w:pPr>
              <w:jc w:val="both"/>
              <w:rPr>
                <w:rStyle w:val="a3"/>
              </w:rPr>
            </w:pPr>
            <w:r>
              <w:t>Строк дії договору – до 31.12.2022 року включно</w:t>
            </w:r>
          </w:p>
        </w:tc>
      </w:tr>
      <w:tr w:rsidR="00497D4D" w:rsidRPr="00D20BE6" w:rsidTr="00453B2A">
        <w:tc>
          <w:tcPr>
            <w:tcW w:w="3714" w:type="dxa"/>
            <w:vAlign w:val="center"/>
          </w:tcPr>
          <w:p w:rsidR="00497D4D" w:rsidRPr="008B04A3" w:rsidRDefault="00497D4D" w:rsidP="00AA3DAF">
            <w:pPr>
              <w:textAlignment w:val="top"/>
              <w:rPr>
                <w:bCs/>
              </w:rPr>
            </w:pPr>
            <w:r w:rsidRPr="008B04A3">
              <w:rPr>
                <w:bCs/>
              </w:rPr>
              <w:t>6. Кінцевий строк подання тендерних пропозицій:</w:t>
            </w:r>
          </w:p>
        </w:tc>
        <w:tc>
          <w:tcPr>
            <w:tcW w:w="6222" w:type="dxa"/>
            <w:vAlign w:val="center"/>
          </w:tcPr>
          <w:p w:rsidR="00497D4D" w:rsidRPr="008B04A3" w:rsidRDefault="00A44D84" w:rsidP="00B756B1">
            <w:pPr>
              <w:pStyle w:val="ab"/>
              <w:spacing w:before="0" w:after="0"/>
              <w:jc w:val="both"/>
              <w:rPr>
                <w:szCs w:val="24"/>
                <w:lang w:val="uk-UA"/>
              </w:rPr>
            </w:pPr>
            <w:r w:rsidRPr="008B04A3">
              <w:rPr>
                <w:szCs w:val="24"/>
                <w:lang w:val="uk-UA"/>
              </w:rPr>
              <w:t>«</w:t>
            </w:r>
            <w:r w:rsidR="00081274" w:rsidRPr="008B04A3">
              <w:rPr>
                <w:szCs w:val="24"/>
                <w:lang w:val="uk-UA"/>
              </w:rPr>
              <w:t>1</w:t>
            </w:r>
            <w:r w:rsidR="00B756B1" w:rsidRPr="008B04A3">
              <w:rPr>
                <w:szCs w:val="24"/>
                <w:lang w:val="en-US"/>
              </w:rPr>
              <w:t>3</w:t>
            </w:r>
            <w:r w:rsidR="00497D4D" w:rsidRPr="008B04A3">
              <w:rPr>
                <w:szCs w:val="24"/>
                <w:lang w:val="uk-UA"/>
              </w:rPr>
              <w:t>»</w:t>
            </w:r>
            <w:r w:rsidR="00081274" w:rsidRPr="008B04A3">
              <w:rPr>
                <w:szCs w:val="24"/>
                <w:lang w:val="uk-UA"/>
              </w:rPr>
              <w:t xml:space="preserve"> листопада </w:t>
            </w:r>
            <w:r w:rsidR="00497D4D" w:rsidRPr="008B04A3">
              <w:rPr>
                <w:szCs w:val="24"/>
                <w:lang w:val="uk-UA"/>
              </w:rPr>
              <w:t xml:space="preserve"> 2022 року до</w:t>
            </w:r>
            <w:r w:rsidR="00EB59D3" w:rsidRPr="008B04A3">
              <w:rPr>
                <w:szCs w:val="24"/>
                <w:lang w:val="uk-UA"/>
              </w:rPr>
              <w:t xml:space="preserve"> </w:t>
            </w:r>
            <w:r w:rsidR="00670264" w:rsidRPr="008B04A3">
              <w:rPr>
                <w:szCs w:val="24"/>
                <w:lang w:val="uk-UA"/>
              </w:rPr>
              <w:t>1</w:t>
            </w:r>
            <w:r w:rsidR="00081274" w:rsidRPr="008B04A3">
              <w:rPr>
                <w:szCs w:val="24"/>
                <w:lang w:val="uk-UA"/>
              </w:rPr>
              <w:t>2</w:t>
            </w:r>
            <w:r w:rsidRPr="008B04A3">
              <w:rPr>
                <w:szCs w:val="24"/>
                <w:lang w:val="uk-UA"/>
              </w:rPr>
              <w:t>:</w:t>
            </w:r>
            <w:r w:rsidR="00670264" w:rsidRPr="008B04A3">
              <w:rPr>
                <w:szCs w:val="24"/>
                <w:lang w:val="uk-UA"/>
              </w:rPr>
              <w:t>00</w:t>
            </w:r>
            <w:r w:rsidR="00497D4D" w:rsidRPr="008B04A3">
              <w:rPr>
                <w:szCs w:val="24"/>
                <w:lang w:val="uk-UA"/>
              </w:rPr>
              <w:t>год.</w:t>
            </w:r>
          </w:p>
        </w:tc>
      </w:tr>
      <w:tr w:rsidR="00497D4D" w:rsidRPr="00D20BE6" w:rsidTr="00453B2A">
        <w:tc>
          <w:tcPr>
            <w:tcW w:w="3714" w:type="dxa"/>
            <w:vAlign w:val="center"/>
          </w:tcPr>
          <w:p w:rsidR="00497D4D" w:rsidRPr="0097244A" w:rsidRDefault="00497D4D" w:rsidP="00AA3DAF">
            <w:pPr>
              <w:textAlignment w:val="top"/>
              <w:rPr>
                <w:bCs/>
              </w:rPr>
            </w:pPr>
            <w:r w:rsidRPr="0097244A">
              <w:rPr>
                <w:bCs/>
              </w:rPr>
              <w:t>7. Умови оплати:</w:t>
            </w:r>
          </w:p>
        </w:tc>
        <w:tc>
          <w:tcPr>
            <w:tcW w:w="6222" w:type="dxa"/>
            <w:vAlign w:val="center"/>
          </w:tcPr>
          <w:p w:rsidR="008E4EE9" w:rsidRPr="005E4458" w:rsidRDefault="008E4EE9" w:rsidP="008E4EE9">
            <w:pPr>
              <w:shd w:val="clear" w:color="auto" w:fill="FFFFFF"/>
              <w:tabs>
                <w:tab w:val="left" w:pos="426"/>
              </w:tabs>
              <w:suppressAutoHyphens/>
              <w:spacing w:line="317" w:lineRule="exact"/>
              <w:rPr>
                <w:bCs/>
                <w:spacing w:val="1"/>
                <w:lang w:eastAsia="ar-SA"/>
              </w:rPr>
            </w:pPr>
            <w:proofErr w:type="spellStart"/>
            <w:r w:rsidRPr="005E4458">
              <w:rPr>
                <w:bCs/>
                <w:spacing w:val="1"/>
                <w:lang w:eastAsia="ar-SA"/>
              </w:rPr>
              <w:t>Післяоплата</w:t>
            </w:r>
            <w:proofErr w:type="spellEnd"/>
            <w:r w:rsidRPr="005E4458">
              <w:rPr>
                <w:bCs/>
                <w:spacing w:val="1"/>
                <w:lang w:eastAsia="ar-SA"/>
              </w:rPr>
              <w:t>, 100 %, 30 календарних   днів.</w:t>
            </w:r>
          </w:p>
          <w:p w:rsidR="008E4EE9" w:rsidRPr="005E4458" w:rsidRDefault="008E4EE9" w:rsidP="008E4EE9">
            <w:pPr>
              <w:suppressAutoHyphens/>
              <w:spacing w:after="200"/>
              <w:jc w:val="both"/>
              <w:rPr>
                <w:kern w:val="2"/>
                <w:shd w:val="clear" w:color="auto" w:fill="FFFFFF"/>
                <w:lang w:eastAsia="ar-SA"/>
              </w:rPr>
            </w:pPr>
            <w:r w:rsidRPr="005E4458">
              <w:rPr>
                <w:kern w:val="2"/>
                <w:lang w:eastAsia="ar-SA"/>
              </w:rPr>
              <w:t xml:space="preserve"> </w:t>
            </w:r>
            <w:r w:rsidRPr="005E4458">
              <w:rPr>
                <w:kern w:val="2"/>
                <w:shd w:val="clear" w:color="auto" w:fill="FFFFFF"/>
                <w:lang w:eastAsia="ar-SA"/>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 </w:t>
            </w:r>
          </w:p>
          <w:p w:rsidR="008E4EE9" w:rsidRPr="005E4458" w:rsidRDefault="008E4EE9" w:rsidP="008E4EE9">
            <w:pPr>
              <w:suppressAutoHyphens/>
              <w:spacing w:after="200"/>
              <w:jc w:val="both"/>
              <w:rPr>
                <w:kern w:val="2"/>
                <w:lang w:eastAsia="ar-SA"/>
              </w:rPr>
            </w:pPr>
            <w:r w:rsidRPr="005E4458">
              <w:rPr>
                <w:kern w:val="2"/>
                <w:shd w:val="clear" w:color="auto" w:fill="FFFFFF"/>
                <w:lang w:eastAsia="ar-SA"/>
              </w:rPr>
              <w:t>Розрахунки за Товар (партію Товару) Замовник здійснює протягом: 30 (тридцяти) календарних днів з моменту підписання  видаткової накладної</w:t>
            </w:r>
            <w:r w:rsidRPr="005E4458">
              <w:rPr>
                <w:kern w:val="2"/>
                <w:lang w:eastAsia="ar-SA"/>
              </w:rPr>
              <w:t>.</w:t>
            </w:r>
          </w:p>
          <w:p w:rsidR="00AD07F0" w:rsidRPr="00AD07F0" w:rsidRDefault="008E4EE9" w:rsidP="008E4EE9">
            <w:pPr>
              <w:jc w:val="both"/>
              <w:textAlignment w:val="top"/>
              <w:rPr>
                <w:rStyle w:val="a3"/>
                <w:lang w:val="ru-RU"/>
              </w:rPr>
            </w:pPr>
            <w:r w:rsidRPr="00AD07F0">
              <w:rPr>
                <w:rStyle w:val="a3"/>
                <w:lang w:val="ru-RU"/>
              </w:rPr>
              <w:t xml:space="preserve"> </w:t>
            </w:r>
          </w:p>
        </w:tc>
      </w:tr>
      <w:tr w:rsidR="00497D4D" w:rsidRPr="00D20BE6" w:rsidTr="00453B2A">
        <w:tc>
          <w:tcPr>
            <w:tcW w:w="3714" w:type="dxa"/>
            <w:vAlign w:val="center"/>
          </w:tcPr>
          <w:p w:rsidR="00497D4D" w:rsidRPr="0097244A" w:rsidRDefault="00497D4D" w:rsidP="00AA3DAF">
            <w:pPr>
              <w:textAlignment w:val="top"/>
              <w:rPr>
                <w:bCs/>
              </w:rPr>
            </w:pPr>
            <w:r w:rsidRPr="0097244A">
              <w:rPr>
                <w:bCs/>
              </w:rPr>
              <w:t>8. Мова (мови), якою (якими) повинні готуватися тендерні пропозиції</w:t>
            </w:r>
          </w:p>
        </w:tc>
        <w:tc>
          <w:tcPr>
            <w:tcW w:w="6222" w:type="dxa"/>
            <w:vAlign w:val="center"/>
          </w:tcPr>
          <w:p w:rsidR="00497D4D" w:rsidRPr="0048576C" w:rsidRDefault="00497D4D" w:rsidP="008C5DEB">
            <w:pPr>
              <w:jc w:val="both"/>
              <w:textAlignment w:val="top"/>
              <w:rPr>
                <w:rStyle w:val="a3"/>
                <w:b w:val="0"/>
              </w:rPr>
            </w:pPr>
            <w:r w:rsidRPr="0048576C">
              <w:rPr>
                <w:rStyle w:val="a3"/>
                <w:b w:val="0"/>
              </w:rPr>
              <w:t>Усі документи, що мають відношення до тендерної пропозиції, та підготовлені безпосередньо учасником, повинні бути складені українською мовою</w:t>
            </w:r>
          </w:p>
        </w:tc>
      </w:tr>
      <w:tr w:rsidR="00497D4D" w:rsidRPr="00D20BE6" w:rsidTr="00453B2A">
        <w:tc>
          <w:tcPr>
            <w:tcW w:w="3714" w:type="dxa"/>
            <w:vAlign w:val="center"/>
          </w:tcPr>
          <w:p w:rsidR="00497D4D" w:rsidRPr="0097244A" w:rsidRDefault="00497D4D" w:rsidP="00B84BA3">
            <w:pPr>
              <w:jc w:val="both"/>
              <w:textAlignment w:val="top"/>
              <w:rPr>
                <w:bCs/>
              </w:rPr>
            </w:pPr>
            <w:r w:rsidRPr="0097244A">
              <w:rPr>
                <w:bCs/>
              </w:rPr>
              <w:t xml:space="preserve">9. </w:t>
            </w:r>
            <w:bookmarkStart w:id="0" w:name="_Hlk47623864"/>
            <w:r w:rsidRPr="0097244A">
              <w:rPr>
                <w:bCs/>
              </w:rPr>
              <w:t>Розмір, вид та умови надання забезпечення тендерних пропозицій (якщо замовник вимагає його надати):</w:t>
            </w:r>
            <w:bookmarkEnd w:id="0"/>
          </w:p>
        </w:tc>
        <w:tc>
          <w:tcPr>
            <w:tcW w:w="6222" w:type="dxa"/>
            <w:vAlign w:val="center"/>
          </w:tcPr>
          <w:p w:rsidR="00497D4D" w:rsidRDefault="0048576C" w:rsidP="00A6349C">
            <w:pPr>
              <w:pStyle w:val="rvps2"/>
              <w:shd w:val="clear" w:color="auto" w:fill="FFFFFF"/>
              <w:spacing w:before="0" w:beforeAutospacing="0" w:after="0" w:afterAutospacing="0"/>
              <w:jc w:val="both"/>
              <w:textAlignment w:val="baseline"/>
              <w:rPr>
                <w:rStyle w:val="a3"/>
                <w:b w:val="0"/>
                <w:bCs w:val="0"/>
                <w:shd w:val="clear" w:color="auto" w:fill="FFFFFF"/>
                <w:lang w:val="uk-UA"/>
              </w:rPr>
            </w:pPr>
            <w:r w:rsidRPr="0048576C">
              <w:rPr>
                <w:rStyle w:val="a3"/>
                <w:b w:val="0"/>
                <w:bCs w:val="0"/>
                <w:shd w:val="clear" w:color="auto" w:fill="FFFFFF"/>
                <w:lang w:val="uk-UA"/>
              </w:rPr>
              <w:t>Не вимагається</w:t>
            </w:r>
          </w:p>
          <w:p w:rsidR="00943422" w:rsidRDefault="00943422" w:rsidP="00A6349C">
            <w:pPr>
              <w:pStyle w:val="rvps2"/>
              <w:shd w:val="clear" w:color="auto" w:fill="FFFFFF"/>
              <w:spacing w:before="0" w:beforeAutospacing="0" w:after="0" w:afterAutospacing="0"/>
              <w:jc w:val="both"/>
              <w:textAlignment w:val="baseline"/>
              <w:rPr>
                <w:rStyle w:val="a3"/>
                <w:b w:val="0"/>
                <w:bCs w:val="0"/>
                <w:shd w:val="clear" w:color="auto" w:fill="FFFFFF"/>
                <w:lang w:val="uk-UA"/>
              </w:rPr>
            </w:pPr>
          </w:p>
          <w:p w:rsidR="00943422" w:rsidRPr="0048576C" w:rsidRDefault="00943422" w:rsidP="00A6349C">
            <w:pPr>
              <w:pStyle w:val="rvps2"/>
              <w:shd w:val="clear" w:color="auto" w:fill="FFFFFF"/>
              <w:spacing w:before="0" w:beforeAutospacing="0" w:after="0" w:afterAutospacing="0"/>
              <w:jc w:val="both"/>
              <w:textAlignment w:val="baseline"/>
              <w:rPr>
                <w:rStyle w:val="a3"/>
                <w:b w:val="0"/>
                <w:bCs w:val="0"/>
                <w:shd w:val="clear" w:color="auto" w:fill="FFFFFF"/>
                <w:lang w:val="uk-UA"/>
              </w:rPr>
            </w:pPr>
          </w:p>
        </w:tc>
      </w:tr>
      <w:tr w:rsidR="00DA5DD7" w:rsidRPr="00D20BE6" w:rsidTr="00C67130">
        <w:tc>
          <w:tcPr>
            <w:tcW w:w="3714" w:type="dxa"/>
          </w:tcPr>
          <w:p w:rsidR="00DA5DD7" w:rsidRPr="00DA7BF2" w:rsidRDefault="00DA5DD7" w:rsidP="002712F8">
            <w:r w:rsidRPr="00DA7BF2">
              <w:t xml:space="preserve">10. Дата та час розкриття тендерних пропозицій, якщо </w:t>
            </w:r>
            <w:r w:rsidRPr="00DA7BF2">
              <w:lastRenderedPageBreak/>
              <w:t>оголошення про проведення відкритих торгів оприлюднюється відповідно до частини третьої статті 10 Закону</w:t>
            </w:r>
          </w:p>
        </w:tc>
        <w:tc>
          <w:tcPr>
            <w:tcW w:w="6222" w:type="dxa"/>
          </w:tcPr>
          <w:p w:rsidR="00DA5DD7" w:rsidRDefault="00DA5DD7" w:rsidP="002712F8">
            <w:r w:rsidRPr="00DA7BF2">
              <w:lastRenderedPageBreak/>
              <w:t xml:space="preserve">Не зазначається, адже оголошення про проведення відкритих торгів оприлюднюється не відповідно до частини </w:t>
            </w:r>
            <w:r w:rsidRPr="00DA7BF2">
              <w:lastRenderedPageBreak/>
              <w:t>третьої статті 10 Закону</w:t>
            </w:r>
            <w:r>
              <w:t>.</w:t>
            </w:r>
          </w:p>
          <w:p w:rsidR="00DA5DD7" w:rsidRDefault="00DA5DD7" w:rsidP="00DA5DD7">
            <w:r>
              <w:t xml:space="preserve">Положення </w:t>
            </w:r>
            <w:r w:rsidRPr="00DA7BF2">
              <w:t>частини третьої статті 10 Закону</w:t>
            </w:r>
            <w:r>
              <w:t xml:space="preserve"> до відкритих торгів, оголошених замовником  відповідно до особливостей , не застосовуються . </w:t>
            </w:r>
          </w:p>
          <w:p w:rsidR="00DA5DD7" w:rsidRDefault="00DA5DD7" w:rsidP="002712F8"/>
        </w:tc>
      </w:tr>
      <w:tr w:rsidR="00497D4D" w:rsidRPr="00D20BE6" w:rsidTr="00453B2A">
        <w:tc>
          <w:tcPr>
            <w:tcW w:w="3714" w:type="dxa"/>
            <w:vAlign w:val="center"/>
          </w:tcPr>
          <w:p w:rsidR="00497D4D" w:rsidRPr="0097244A" w:rsidRDefault="00497D4D" w:rsidP="00B84BA3">
            <w:pPr>
              <w:jc w:val="both"/>
              <w:textAlignment w:val="top"/>
              <w:rPr>
                <w:bCs/>
              </w:rPr>
            </w:pPr>
            <w:r w:rsidRPr="0097244A">
              <w:rPr>
                <w:bCs/>
              </w:rPr>
              <w:lastRenderedPageBreak/>
              <w:t>11.</w:t>
            </w:r>
            <w:r w:rsidRPr="00D20BE6">
              <w:t xml:space="preserve"> Р</w:t>
            </w:r>
            <w:r w:rsidRPr="0097244A">
              <w:rPr>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222" w:type="dxa"/>
            <w:vAlign w:val="center"/>
          </w:tcPr>
          <w:p w:rsidR="00497D4D" w:rsidRPr="0048576C" w:rsidRDefault="00497D4D" w:rsidP="00B84BA3">
            <w:pPr>
              <w:jc w:val="both"/>
              <w:textAlignment w:val="top"/>
              <w:rPr>
                <w:rStyle w:val="a3"/>
                <w:b w:val="0"/>
              </w:rPr>
            </w:pPr>
            <w:r w:rsidRPr="0048576C">
              <w:rPr>
                <w:rStyle w:val="a3"/>
                <w:b w:val="0"/>
              </w:rPr>
              <w:t xml:space="preserve"> 0,5 %</w:t>
            </w:r>
          </w:p>
          <w:p w:rsidR="00497D4D" w:rsidRPr="0048576C" w:rsidRDefault="00497D4D" w:rsidP="00CC2367">
            <w:pPr>
              <w:jc w:val="both"/>
              <w:textAlignment w:val="top"/>
              <w:rPr>
                <w:rStyle w:val="a3"/>
                <w:b w:val="0"/>
              </w:rPr>
            </w:pPr>
          </w:p>
        </w:tc>
      </w:tr>
      <w:tr w:rsidR="00497D4D" w:rsidRPr="00D20BE6" w:rsidTr="00453B2A">
        <w:tc>
          <w:tcPr>
            <w:tcW w:w="3714" w:type="dxa"/>
            <w:vAlign w:val="center"/>
          </w:tcPr>
          <w:p w:rsidR="00497D4D" w:rsidRPr="0097244A" w:rsidRDefault="00497D4D" w:rsidP="00B84BA3">
            <w:pPr>
              <w:jc w:val="both"/>
              <w:textAlignment w:val="top"/>
              <w:rPr>
                <w:bCs/>
              </w:rPr>
            </w:pPr>
            <w:r w:rsidRPr="0097244A">
              <w:rPr>
                <w:bCs/>
              </w:rPr>
              <w:t>12. Математична формула для розрахунку приведеної ціни (у разі її застосування)</w:t>
            </w:r>
          </w:p>
        </w:tc>
        <w:tc>
          <w:tcPr>
            <w:tcW w:w="6222" w:type="dxa"/>
            <w:vAlign w:val="center"/>
          </w:tcPr>
          <w:p w:rsidR="00497D4D" w:rsidRDefault="00497D4D" w:rsidP="00B84BA3">
            <w:pPr>
              <w:jc w:val="both"/>
              <w:textAlignment w:val="top"/>
              <w:rPr>
                <w:rStyle w:val="a3"/>
                <w:b w:val="0"/>
              </w:rPr>
            </w:pPr>
            <w:r w:rsidRPr="0048576C">
              <w:rPr>
                <w:rStyle w:val="a3"/>
                <w:b w:val="0"/>
              </w:rPr>
              <w:t xml:space="preserve">Не застосовується, оцінка тендерних пропозицій здійснюють на основі єдиного критерію “ціна” (питома вага критерію “ціна” – 100%) </w:t>
            </w:r>
          </w:p>
          <w:p w:rsidR="0015214A" w:rsidRPr="00DA5DD7" w:rsidRDefault="0015214A" w:rsidP="00B84BA3">
            <w:pPr>
              <w:jc w:val="both"/>
              <w:textAlignment w:val="top"/>
              <w:rPr>
                <w:rStyle w:val="a3"/>
                <w:u w:val="single"/>
              </w:rPr>
            </w:pPr>
            <w:r w:rsidRPr="00DA5DD7">
              <w:rPr>
                <w:rStyle w:val="a3"/>
                <w:u w:val="single"/>
              </w:rPr>
              <w:t>Замовник не приймає до розгляду тендерну пропозицію, ціна якої є</w:t>
            </w:r>
            <w:bookmarkStart w:id="1" w:name="_GoBack"/>
            <w:bookmarkEnd w:id="1"/>
            <w:r w:rsidRPr="00DA5DD7">
              <w:rPr>
                <w:rStyle w:val="a3"/>
                <w:u w:val="single"/>
              </w:rPr>
              <w:t xml:space="preserve"> вищою, ніж очікувана вартість предмета закупівлі, визначена Замовником в п</w:t>
            </w:r>
            <w:r w:rsidR="002D31BB" w:rsidRPr="00DA5DD7">
              <w:rPr>
                <w:rStyle w:val="a3"/>
                <w:u w:val="single"/>
              </w:rPr>
              <w:t>.</w:t>
            </w:r>
            <w:r w:rsidRPr="00DA5DD7">
              <w:rPr>
                <w:rStyle w:val="a3"/>
                <w:u w:val="single"/>
              </w:rPr>
              <w:t>4 оголошення про проведення відкритих торгів.</w:t>
            </w:r>
          </w:p>
        </w:tc>
      </w:tr>
    </w:tbl>
    <w:p w:rsidR="00497D4D" w:rsidRPr="0097244A" w:rsidRDefault="00497D4D">
      <w:pPr>
        <w:textAlignment w:val="top"/>
        <w:rPr>
          <w:sz w:val="10"/>
          <w:szCs w:val="10"/>
        </w:rPr>
      </w:pPr>
    </w:p>
    <w:p w:rsidR="00497D4D" w:rsidRPr="0097244A" w:rsidRDefault="00497D4D">
      <w:pPr>
        <w:textAlignment w:val="top"/>
        <w:rPr>
          <w:sz w:val="10"/>
          <w:szCs w:val="10"/>
        </w:rPr>
      </w:pPr>
    </w:p>
    <w:p w:rsidR="00497D4D" w:rsidRPr="0097244A" w:rsidRDefault="00497D4D">
      <w:pPr>
        <w:textAlignment w:val="top"/>
        <w:rPr>
          <w:bCs/>
          <w:sz w:val="10"/>
          <w:szCs w:val="10"/>
        </w:rPr>
      </w:pPr>
    </w:p>
    <w:tbl>
      <w:tblPr>
        <w:tblW w:w="10038" w:type="dxa"/>
        <w:jc w:val="center"/>
        <w:tblLayout w:type="fixed"/>
        <w:tblLook w:val="00A0" w:firstRow="1" w:lastRow="0" w:firstColumn="1" w:lastColumn="0" w:noHBand="0" w:noVBand="0"/>
      </w:tblPr>
      <w:tblGrid>
        <w:gridCol w:w="3664"/>
        <w:gridCol w:w="3285"/>
        <w:gridCol w:w="3089"/>
      </w:tblGrid>
      <w:tr w:rsidR="00497D4D" w:rsidRPr="00B4561F" w:rsidTr="00A6349C">
        <w:trPr>
          <w:trHeight w:val="131"/>
          <w:jc w:val="center"/>
        </w:trPr>
        <w:tc>
          <w:tcPr>
            <w:tcW w:w="3664" w:type="dxa"/>
          </w:tcPr>
          <w:p w:rsidR="00497D4D" w:rsidRPr="00D20BE6" w:rsidRDefault="00497D4D" w:rsidP="00D333F0">
            <w:pPr>
              <w:tabs>
                <w:tab w:val="left" w:pos="1440"/>
              </w:tabs>
              <w:ind w:firstLine="3"/>
              <w:jc w:val="center"/>
              <w:rPr>
                <w:b/>
              </w:rPr>
            </w:pPr>
          </w:p>
          <w:p w:rsidR="00497D4D" w:rsidRPr="00D20BE6" w:rsidRDefault="00497D4D" w:rsidP="00D333F0">
            <w:pPr>
              <w:tabs>
                <w:tab w:val="left" w:pos="1440"/>
              </w:tabs>
              <w:ind w:firstLine="3"/>
              <w:jc w:val="center"/>
            </w:pPr>
            <w:r w:rsidRPr="00D20BE6">
              <w:rPr>
                <w:b/>
              </w:rPr>
              <w:t>Уповноважена особа</w:t>
            </w:r>
          </w:p>
          <w:p w:rsidR="00497D4D" w:rsidRPr="00D20BE6" w:rsidRDefault="00497D4D" w:rsidP="00D333F0">
            <w:pPr>
              <w:shd w:val="clear" w:color="auto" w:fill="FFFFFF"/>
              <w:jc w:val="center"/>
            </w:pPr>
            <w:r w:rsidRPr="00804F7E">
              <w:rPr>
                <w:b/>
                <w:color w:val="00000A"/>
              </w:rPr>
              <w:t xml:space="preserve">КНП </w:t>
            </w:r>
            <w:r w:rsidRPr="00D20BE6">
              <w:rPr>
                <w:b/>
                <w:bCs/>
              </w:rPr>
              <w:t>"Хмельницький обласний центр екстреної медичної допомоги та медицини катастроф" Хмельницької обласної ради</w:t>
            </w:r>
            <w:r w:rsidRPr="00804F7E">
              <w:rPr>
                <w:b/>
                <w:color w:val="00000A"/>
              </w:rPr>
              <w:t xml:space="preserve"> </w:t>
            </w:r>
            <w:r w:rsidRPr="00D20BE6">
              <w:rPr>
                <w:b/>
              </w:rPr>
              <w:t xml:space="preserve"> </w:t>
            </w:r>
          </w:p>
          <w:p w:rsidR="00497D4D" w:rsidRPr="00D20BE6" w:rsidRDefault="00497D4D" w:rsidP="00D333F0">
            <w:pPr>
              <w:shd w:val="clear" w:color="auto" w:fill="FFFFFF"/>
              <w:ind w:firstLine="3"/>
              <w:rPr>
                <w:i/>
              </w:rPr>
            </w:pPr>
          </w:p>
        </w:tc>
        <w:tc>
          <w:tcPr>
            <w:tcW w:w="3285" w:type="dxa"/>
            <w:vAlign w:val="center"/>
          </w:tcPr>
          <w:p w:rsidR="00497D4D" w:rsidRPr="00D20BE6" w:rsidRDefault="00497D4D" w:rsidP="00D333F0">
            <w:pPr>
              <w:tabs>
                <w:tab w:val="left" w:pos="1440"/>
              </w:tabs>
              <w:jc w:val="center"/>
            </w:pPr>
            <w:r w:rsidRPr="00D20BE6">
              <w:t>________________</w:t>
            </w:r>
          </w:p>
        </w:tc>
        <w:tc>
          <w:tcPr>
            <w:tcW w:w="3089" w:type="dxa"/>
            <w:vAlign w:val="center"/>
          </w:tcPr>
          <w:p w:rsidR="00497D4D" w:rsidRPr="00B4561F" w:rsidRDefault="00497D4D" w:rsidP="00BA5272">
            <w:pPr>
              <w:tabs>
                <w:tab w:val="left" w:pos="1440"/>
              </w:tabs>
              <w:jc w:val="center"/>
            </w:pPr>
            <w:proofErr w:type="spellStart"/>
            <w:r w:rsidRPr="00B4561F">
              <w:rPr>
                <w:b/>
                <w:lang w:val="en-US"/>
              </w:rPr>
              <w:t>Підлісна</w:t>
            </w:r>
            <w:proofErr w:type="spellEnd"/>
            <w:r w:rsidRPr="00B4561F">
              <w:rPr>
                <w:b/>
                <w:lang w:val="en-US"/>
              </w:rPr>
              <w:t xml:space="preserve"> Ю.М.</w:t>
            </w:r>
            <w:r w:rsidRPr="00B4561F">
              <w:rPr>
                <w:b/>
              </w:rPr>
              <w:t xml:space="preserve"> </w:t>
            </w:r>
          </w:p>
        </w:tc>
      </w:tr>
    </w:tbl>
    <w:p w:rsidR="00497D4D" w:rsidRPr="0097244A" w:rsidRDefault="00497D4D" w:rsidP="002A7FEE">
      <w:pPr>
        <w:shd w:val="clear" w:color="auto" w:fill="FFFFFF"/>
        <w:tabs>
          <w:tab w:val="left" w:pos="720"/>
        </w:tabs>
        <w:spacing w:line="317" w:lineRule="exact"/>
        <w:rPr>
          <w:bCs/>
        </w:rPr>
      </w:pPr>
    </w:p>
    <w:sectPr w:rsidR="00497D4D" w:rsidRPr="0097244A" w:rsidSect="00EF7A4C">
      <w:headerReference w:type="even" r:id="rId8"/>
      <w:headerReference w:type="default" r:id="rId9"/>
      <w:footerReference w:type="even" r:id="rId10"/>
      <w:footerReference w:type="default" r:id="rId11"/>
      <w:headerReference w:type="first" r:id="rId12"/>
      <w:footerReference w:type="first" r:id="rId13"/>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B1" w:rsidRDefault="006469B1" w:rsidP="003E1630">
      <w:r>
        <w:separator/>
      </w:r>
    </w:p>
  </w:endnote>
  <w:endnote w:type="continuationSeparator" w:id="0">
    <w:p w:rsidR="006469B1" w:rsidRDefault="006469B1"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D" w:rsidRDefault="00497D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D" w:rsidRDefault="00497D4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D" w:rsidRDefault="00497D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B1" w:rsidRDefault="006469B1" w:rsidP="003E1630">
      <w:r>
        <w:separator/>
      </w:r>
    </w:p>
  </w:footnote>
  <w:footnote w:type="continuationSeparator" w:id="0">
    <w:p w:rsidR="006469B1" w:rsidRDefault="006469B1"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D" w:rsidRDefault="00497D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D" w:rsidRDefault="00497D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4D" w:rsidRDefault="00497D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820"/>
    <w:rsid w:val="0000276B"/>
    <w:rsid w:val="0001226C"/>
    <w:rsid w:val="0002248E"/>
    <w:rsid w:val="0002442D"/>
    <w:rsid w:val="000327DD"/>
    <w:rsid w:val="0004223F"/>
    <w:rsid w:val="000523AF"/>
    <w:rsid w:val="00063BEF"/>
    <w:rsid w:val="00075656"/>
    <w:rsid w:val="00081274"/>
    <w:rsid w:val="000A270B"/>
    <w:rsid w:val="000A50E0"/>
    <w:rsid w:val="000B58AF"/>
    <w:rsid w:val="000F1459"/>
    <w:rsid w:val="000F2936"/>
    <w:rsid w:val="00101E0B"/>
    <w:rsid w:val="00110BB8"/>
    <w:rsid w:val="00124305"/>
    <w:rsid w:val="00126161"/>
    <w:rsid w:val="0012733B"/>
    <w:rsid w:val="0013182E"/>
    <w:rsid w:val="00136276"/>
    <w:rsid w:val="00143C99"/>
    <w:rsid w:val="0015045A"/>
    <w:rsid w:val="0015214A"/>
    <w:rsid w:val="0015535E"/>
    <w:rsid w:val="00160B6C"/>
    <w:rsid w:val="00160DAA"/>
    <w:rsid w:val="0016651A"/>
    <w:rsid w:val="00171CD0"/>
    <w:rsid w:val="001723E5"/>
    <w:rsid w:val="001750A1"/>
    <w:rsid w:val="00182219"/>
    <w:rsid w:val="0019006C"/>
    <w:rsid w:val="00196C57"/>
    <w:rsid w:val="001B3881"/>
    <w:rsid w:val="001C0F04"/>
    <w:rsid w:val="001C363C"/>
    <w:rsid w:val="002072EF"/>
    <w:rsid w:val="0020778B"/>
    <w:rsid w:val="00217F78"/>
    <w:rsid w:val="00221433"/>
    <w:rsid w:val="0022430B"/>
    <w:rsid w:val="00241AB5"/>
    <w:rsid w:val="00245B4C"/>
    <w:rsid w:val="002579B7"/>
    <w:rsid w:val="002676A7"/>
    <w:rsid w:val="0029390A"/>
    <w:rsid w:val="002A7FEE"/>
    <w:rsid w:val="002B049C"/>
    <w:rsid w:val="002B6020"/>
    <w:rsid w:val="002C4504"/>
    <w:rsid w:val="002C6104"/>
    <w:rsid w:val="002D31BB"/>
    <w:rsid w:val="002E0447"/>
    <w:rsid w:val="002E0D32"/>
    <w:rsid w:val="002E559C"/>
    <w:rsid w:val="0030143F"/>
    <w:rsid w:val="00306A6A"/>
    <w:rsid w:val="00313FAB"/>
    <w:rsid w:val="0032066F"/>
    <w:rsid w:val="00346C88"/>
    <w:rsid w:val="00362815"/>
    <w:rsid w:val="0036494F"/>
    <w:rsid w:val="003A3C0C"/>
    <w:rsid w:val="003A655E"/>
    <w:rsid w:val="003C6B98"/>
    <w:rsid w:val="003E1630"/>
    <w:rsid w:val="003F09C9"/>
    <w:rsid w:val="003F4476"/>
    <w:rsid w:val="003F4B0E"/>
    <w:rsid w:val="003F509B"/>
    <w:rsid w:val="00404DA0"/>
    <w:rsid w:val="004154F7"/>
    <w:rsid w:val="00437CEF"/>
    <w:rsid w:val="0044373C"/>
    <w:rsid w:val="0044765D"/>
    <w:rsid w:val="00453B2A"/>
    <w:rsid w:val="00477126"/>
    <w:rsid w:val="0048576C"/>
    <w:rsid w:val="004860D1"/>
    <w:rsid w:val="00497D4D"/>
    <w:rsid w:val="004A6178"/>
    <w:rsid w:val="004A6356"/>
    <w:rsid w:val="004A7A55"/>
    <w:rsid w:val="004A7C57"/>
    <w:rsid w:val="004A7D12"/>
    <w:rsid w:val="004B46B0"/>
    <w:rsid w:val="004B4F5F"/>
    <w:rsid w:val="004C70EE"/>
    <w:rsid w:val="004E2F92"/>
    <w:rsid w:val="004F15BE"/>
    <w:rsid w:val="004F1685"/>
    <w:rsid w:val="004F39C8"/>
    <w:rsid w:val="005031EB"/>
    <w:rsid w:val="005219DF"/>
    <w:rsid w:val="00524BCF"/>
    <w:rsid w:val="00525C76"/>
    <w:rsid w:val="00525FC6"/>
    <w:rsid w:val="005309AC"/>
    <w:rsid w:val="00572CA1"/>
    <w:rsid w:val="005A081E"/>
    <w:rsid w:val="005A4758"/>
    <w:rsid w:val="005B1F53"/>
    <w:rsid w:val="005D44A4"/>
    <w:rsid w:val="005D6553"/>
    <w:rsid w:val="005E2C70"/>
    <w:rsid w:val="005E4458"/>
    <w:rsid w:val="006041E3"/>
    <w:rsid w:val="00644760"/>
    <w:rsid w:val="006469B1"/>
    <w:rsid w:val="006522B7"/>
    <w:rsid w:val="00670264"/>
    <w:rsid w:val="0067051C"/>
    <w:rsid w:val="0067297A"/>
    <w:rsid w:val="0067577D"/>
    <w:rsid w:val="00675DF1"/>
    <w:rsid w:val="00694272"/>
    <w:rsid w:val="006A2141"/>
    <w:rsid w:val="006A2FBC"/>
    <w:rsid w:val="006A63C7"/>
    <w:rsid w:val="006B3F4C"/>
    <w:rsid w:val="006B4089"/>
    <w:rsid w:val="006C545B"/>
    <w:rsid w:val="006D0209"/>
    <w:rsid w:val="006D61FE"/>
    <w:rsid w:val="006E0EB2"/>
    <w:rsid w:val="006F0E52"/>
    <w:rsid w:val="006F312E"/>
    <w:rsid w:val="006F6DEB"/>
    <w:rsid w:val="00702812"/>
    <w:rsid w:val="00704B3D"/>
    <w:rsid w:val="00712F9B"/>
    <w:rsid w:val="007220D5"/>
    <w:rsid w:val="007253C1"/>
    <w:rsid w:val="0072576A"/>
    <w:rsid w:val="00737E26"/>
    <w:rsid w:val="00753091"/>
    <w:rsid w:val="00754418"/>
    <w:rsid w:val="00754919"/>
    <w:rsid w:val="00757866"/>
    <w:rsid w:val="00776BB2"/>
    <w:rsid w:val="007773B3"/>
    <w:rsid w:val="007A274E"/>
    <w:rsid w:val="007A6C39"/>
    <w:rsid w:val="007B2E86"/>
    <w:rsid w:val="007F4540"/>
    <w:rsid w:val="008001F0"/>
    <w:rsid w:val="00802CB4"/>
    <w:rsid w:val="00804312"/>
    <w:rsid w:val="00804F7E"/>
    <w:rsid w:val="00805A6C"/>
    <w:rsid w:val="0081000C"/>
    <w:rsid w:val="008208F9"/>
    <w:rsid w:val="0082124D"/>
    <w:rsid w:val="00831AD0"/>
    <w:rsid w:val="00843071"/>
    <w:rsid w:val="0084691D"/>
    <w:rsid w:val="00855062"/>
    <w:rsid w:val="00863FC8"/>
    <w:rsid w:val="00870263"/>
    <w:rsid w:val="0087064B"/>
    <w:rsid w:val="008739E0"/>
    <w:rsid w:val="00875B19"/>
    <w:rsid w:val="008A46FA"/>
    <w:rsid w:val="008A6814"/>
    <w:rsid w:val="008B0006"/>
    <w:rsid w:val="008B04A3"/>
    <w:rsid w:val="008C5DEB"/>
    <w:rsid w:val="008D7546"/>
    <w:rsid w:val="008E2B7F"/>
    <w:rsid w:val="008E4EE9"/>
    <w:rsid w:val="009404CF"/>
    <w:rsid w:val="00943422"/>
    <w:rsid w:val="0094519B"/>
    <w:rsid w:val="009466B3"/>
    <w:rsid w:val="0097244A"/>
    <w:rsid w:val="009751D5"/>
    <w:rsid w:val="00980C1A"/>
    <w:rsid w:val="0098127B"/>
    <w:rsid w:val="009829B2"/>
    <w:rsid w:val="009839BC"/>
    <w:rsid w:val="009914A2"/>
    <w:rsid w:val="0099273F"/>
    <w:rsid w:val="0099526B"/>
    <w:rsid w:val="009A4507"/>
    <w:rsid w:val="009B6F35"/>
    <w:rsid w:val="009B7602"/>
    <w:rsid w:val="009C352E"/>
    <w:rsid w:val="009E2608"/>
    <w:rsid w:val="00A005B0"/>
    <w:rsid w:val="00A027FD"/>
    <w:rsid w:val="00A156BC"/>
    <w:rsid w:val="00A173D3"/>
    <w:rsid w:val="00A2482A"/>
    <w:rsid w:val="00A429C6"/>
    <w:rsid w:val="00A44D84"/>
    <w:rsid w:val="00A47D35"/>
    <w:rsid w:val="00A559FF"/>
    <w:rsid w:val="00A6349C"/>
    <w:rsid w:val="00A656D4"/>
    <w:rsid w:val="00A96B26"/>
    <w:rsid w:val="00AA3DAF"/>
    <w:rsid w:val="00AC6457"/>
    <w:rsid w:val="00AC7386"/>
    <w:rsid w:val="00AD07F0"/>
    <w:rsid w:val="00AD51E5"/>
    <w:rsid w:val="00AE38E3"/>
    <w:rsid w:val="00AF1334"/>
    <w:rsid w:val="00B00A4A"/>
    <w:rsid w:val="00B00C1F"/>
    <w:rsid w:val="00B02DE8"/>
    <w:rsid w:val="00B14E48"/>
    <w:rsid w:val="00B21557"/>
    <w:rsid w:val="00B21C41"/>
    <w:rsid w:val="00B4561F"/>
    <w:rsid w:val="00B473BF"/>
    <w:rsid w:val="00B50682"/>
    <w:rsid w:val="00B510B8"/>
    <w:rsid w:val="00B51DF5"/>
    <w:rsid w:val="00B549FB"/>
    <w:rsid w:val="00B70B42"/>
    <w:rsid w:val="00B70C4D"/>
    <w:rsid w:val="00B7233D"/>
    <w:rsid w:val="00B756B1"/>
    <w:rsid w:val="00B84BA3"/>
    <w:rsid w:val="00B92E25"/>
    <w:rsid w:val="00BA5272"/>
    <w:rsid w:val="00BA7CDF"/>
    <w:rsid w:val="00BC264A"/>
    <w:rsid w:val="00BD1F80"/>
    <w:rsid w:val="00BE3DC4"/>
    <w:rsid w:val="00BE6648"/>
    <w:rsid w:val="00C01ECF"/>
    <w:rsid w:val="00C0445E"/>
    <w:rsid w:val="00C15740"/>
    <w:rsid w:val="00C1627C"/>
    <w:rsid w:val="00C23228"/>
    <w:rsid w:val="00C25637"/>
    <w:rsid w:val="00C270BE"/>
    <w:rsid w:val="00C40B55"/>
    <w:rsid w:val="00C42B11"/>
    <w:rsid w:val="00C51275"/>
    <w:rsid w:val="00C67E50"/>
    <w:rsid w:val="00C901C4"/>
    <w:rsid w:val="00C91E53"/>
    <w:rsid w:val="00CA1A24"/>
    <w:rsid w:val="00CA2FF3"/>
    <w:rsid w:val="00CB6A14"/>
    <w:rsid w:val="00CB73B3"/>
    <w:rsid w:val="00CC2367"/>
    <w:rsid w:val="00CC5CD2"/>
    <w:rsid w:val="00CC68E3"/>
    <w:rsid w:val="00CD34A5"/>
    <w:rsid w:val="00CF036F"/>
    <w:rsid w:val="00CF2194"/>
    <w:rsid w:val="00CF3911"/>
    <w:rsid w:val="00D109C8"/>
    <w:rsid w:val="00D1388F"/>
    <w:rsid w:val="00D20208"/>
    <w:rsid w:val="00D20BE6"/>
    <w:rsid w:val="00D2619D"/>
    <w:rsid w:val="00D333F0"/>
    <w:rsid w:val="00D65685"/>
    <w:rsid w:val="00D77A86"/>
    <w:rsid w:val="00D871FA"/>
    <w:rsid w:val="00D938F2"/>
    <w:rsid w:val="00D96634"/>
    <w:rsid w:val="00DA2D71"/>
    <w:rsid w:val="00DA5DD7"/>
    <w:rsid w:val="00DB50D7"/>
    <w:rsid w:val="00DB53E9"/>
    <w:rsid w:val="00DC4C29"/>
    <w:rsid w:val="00DD54A4"/>
    <w:rsid w:val="00DE615C"/>
    <w:rsid w:val="00E028F2"/>
    <w:rsid w:val="00E06F47"/>
    <w:rsid w:val="00E15689"/>
    <w:rsid w:val="00E36022"/>
    <w:rsid w:val="00E37DAA"/>
    <w:rsid w:val="00E4624C"/>
    <w:rsid w:val="00E8019D"/>
    <w:rsid w:val="00E869EB"/>
    <w:rsid w:val="00E86E39"/>
    <w:rsid w:val="00E87444"/>
    <w:rsid w:val="00E87870"/>
    <w:rsid w:val="00E90FD9"/>
    <w:rsid w:val="00E92C7D"/>
    <w:rsid w:val="00EA11B9"/>
    <w:rsid w:val="00EA1F4A"/>
    <w:rsid w:val="00EA4E5F"/>
    <w:rsid w:val="00EB59D3"/>
    <w:rsid w:val="00EC1376"/>
    <w:rsid w:val="00EF218C"/>
    <w:rsid w:val="00EF7A4C"/>
    <w:rsid w:val="00F1374E"/>
    <w:rsid w:val="00F15CEC"/>
    <w:rsid w:val="00F163C5"/>
    <w:rsid w:val="00F16C66"/>
    <w:rsid w:val="00F26CF5"/>
    <w:rsid w:val="00F272DB"/>
    <w:rsid w:val="00F31F87"/>
    <w:rsid w:val="00F5688C"/>
    <w:rsid w:val="00F734EE"/>
    <w:rsid w:val="00F768B8"/>
    <w:rsid w:val="00F93373"/>
    <w:rsid w:val="00F949E8"/>
    <w:rsid w:val="00FA3EF1"/>
    <w:rsid w:val="00FB4820"/>
    <w:rsid w:val="00FC0494"/>
    <w:rsid w:val="00FD6BD3"/>
    <w:rsid w:val="00FE1F74"/>
    <w:rsid w:val="00FE76C9"/>
    <w:rsid w:val="00FF1676"/>
    <w:rsid w:val="00FF2126"/>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sz w:val="24"/>
      <w:szCs w:val="24"/>
      <w:lang w:val="uk-UA" w:eastAsia="uk-UA"/>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a"/>
    <w:link w:val="ac"/>
    <w:uiPriority w:val="99"/>
    <w:rsid w:val="00101E0B"/>
    <w:pPr>
      <w:suppressAutoHyphens/>
      <w:spacing w:before="280" w:after="280"/>
    </w:pPr>
    <w:rPr>
      <w:szCs w:val="20"/>
      <w:lang w:val="ru-RU"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101E0B"/>
    <w:rPr>
      <w:sz w:val="24"/>
      <w:lang w:eastAsia="zh-CN"/>
    </w:rPr>
  </w:style>
  <w:style w:type="paragraph" w:customStyle="1" w:styleId="rvps2">
    <w:name w:val="rvps2"/>
    <w:basedOn w:val="a"/>
    <w:uiPriority w:val="99"/>
    <w:rsid w:val="001C363C"/>
    <w:pPr>
      <w:spacing w:before="100" w:beforeAutospacing="1" w:after="100" w:afterAutospacing="1"/>
    </w:pPr>
    <w:rPr>
      <w:lang w:val="ru-RU" w:eastAsia="ru-RU"/>
    </w:rPr>
  </w:style>
  <w:style w:type="paragraph" w:styleId="ad">
    <w:name w:val="No Spacing"/>
    <w:link w:val="ae"/>
    <w:uiPriority w:val="99"/>
    <w:qFormat/>
    <w:rsid w:val="00B70B42"/>
    <w:pPr>
      <w:suppressAutoHyphens/>
    </w:pPr>
    <w:rPr>
      <w:rFonts w:ascii="Calibri" w:hAnsi="Calibri"/>
      <w:sz w:val="22"/>
      <w:szCs w:val="22"/>
      <w:lang w:eastAsia="zh-CN"/>
    </w:rPr>
  </w:style>
  <w:style w:type="character" w:customStyle="1" w:styleId="ae">
    <w:name w:val="Без интервала Знак"/>
    <w:link w:val="ad"/>
    <w:uiPriority w:val="99"/>
    <w:locked/>
    <w:rsid w:val="00B70B42"/>
    <w:rPr>
      <w:rFonts w:ascii="Calibri" w:hAnsi="Calibri"/>
      <w:sz w:val="22"/>
      <w:lang w:eastAsia="zh-CN"/>
    </w:rPr>
  </w:style>
  <w:style w:type="paragraph" w:customStyle="1" w:styleId="ListParagraph1">
    <w:name w:val="List Paragraph1"/>
    <w:basedOn w:val="a"/>
    <w:uiPriority w:val="99"/>
    <w:rsid w:val="00A6349C"/>
    <w:pPr>
      <w:suppressAutoHyphens/>
      <w:ind w:left="720"/>
    </w:pPr>
    <w:rPr>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4532">
      <w:marLeft w:val="0"/>
      <w:marRight w:val="0"/>
      <w:marTop w:val="0"/>
      <w:marBottom w:val="0"/>
      <w:divBdr>
        <w:top w:val="none" w:sz="0" w:space="0" w:color="auto"/>
        <w:left w:val="none" w:sz="0" w:space="0" w:color="auto"/>
        <w:bottom w:val="none" w:sz="0" w:space="0" w:color="auto"/>
        <w:right w:val="none" w:sz="0" w:space="0" w:color="auto"/>
      </w:divBdr>
    </w:div>
    <w:div w:id="347104533">
      <w:marLeft w:val="0"/>
      <w:marRight w:val="0"/>
      <w:marTop w:val="0"/>
      <w:marBottom w:val="0"/>
      <w:divBdr>
        <w:top w:val="none" w:sz="0" w:space="0" w:color="auto"/>
        <w:left w:val="none" w:sz="0" w:space="0" w:color="auto"/>
        <w:bottom w:val="none" w:sz="0" w:space="0" w:color="auto"/>
        <w:right w:val="none" w:sz="0" w:space="0" w:color="auto"/>
      </w:divBdr>
    </w:div>
    <w:div w:id="347104534">
      <w:marLeft w:val="0"/>
      <w:marRight w:val="0"/>
      <w:marTop w:val="0"/>
      <w:marBottom w:val="0"/>
      <w:divBdr>
        <w:top w:val="none" w:sz="0" w:space="0" w:color="auto"/>
        <w:left w:val="none" w:sz="0" w:space="0" w:color="auto"/>
        <w:bottom w:val="none" w:sz="0" w:space="0" w:color="auto"/>
        <w:right w:val="none" w:sz="0" w:space="0" w:color="auto"/>
      </w:divBdr>
    </w:div>
    <w:div w:id="347104535">
      <w:marLeft w:val="0"/>
      <w:marRight w:val="0"/>
      <w:marTop w:val="0"/>
      <w:marBottom w:val="0"/>
      <w:divBdr>
        <w:top w:val="none" w:sz="0" w:space="0" w:color="auto"/>
        <w:left w:val="none" w:sz="0" w:space="0" w:color="auto"/>
        <w:bottom w:val="none" w:sz="0" w:space="0" w:color="auto"/>
        <w:right w:val="none" w:sz="0" w:space="0" w:color="auto"/>
      </w:divBdr>
    </w:div>
    <w:div w:id="347104536">
      <w:marLeft w:val="0"/>
      <w:marRight w:val="0"/>
      <w:marTop w:val="0"/>
      <w:marBottom w:val="0"/>
      <w:divBdr>
        <w:top w:val="none" w:sz="0" w:space="0" w:color="auto"/>
        <w:left w:val="none" w:sz="0" w:space="0" w:color="auto"/>
        <w:bottom w:val="none" w:sz="0" w:space="0" w:color="auto"/>
        <w:right w:val="none" w:sz="0" w:space="0" w:color="auto"/>
      </w:divBdr>
    </w:div>
    <w:div w:id="347104537">
      <w:marLeft w:val="0"/>
      <w:marRight w:val="0"/>
      <w:marTop w:val="0"/>
      <w:marBottom w:val="0"/>
      <w:divBdr>
        <w:top w:val="none" w:sz="0" w:space="0" w:color="auto"/>
        <w:left w:val="none" w:sz="0" w:space="0" w:color="auto"/>
        <w:bottom w:val="none" w:sz="0" w:space="0" w:color="auto"/>
        <w:right w:val="none" w:sz="0" w:space="0" w:color="auto"/>
      </w:divBdr>
    </w:div>
    <w:div w:id="347104538">
      <w:marLeft w:val="0"/>
      <w:marRight w:val="0"/>
      <w:marTop w:val="0"/>
      <w:marBottom w:val="0"/>
      <w:divBdr>
        <w:top w:val="none" w:sz="0" w:space="0" w:color="auto"/>
        <w:left w:val="none" w:sz="0" w:space="0" w:color="auto"/>
        <w:bottom w:val="none" w:sz="0" w:space="0" w:color="auto"/>
        <w:right w:val="none" w:sz="0" w:space="0" w:color="auto"/>
      </w:divBdr>
    </w:div>
    <w:div w:id="378668116">
      <w:bodyDiv w:val="1"/>
      <w:marLeft w:val="0"/>
      <w:marRight w:val="0"/>
      <w:marTop w:val="0"/>
      <w:marBottom w:val="0"/>
      <w:divBdr>
        <w:top w:val="none" w:sz="0" w:space="0" w:color="auto"/>
        <w:left w:val="none" w:sz="0" w:space="0" w:color="auto"/>
        <w:bottom w:val="none" w:sz="0" w:space="0" w:color="auto"/>
        <w:right w:val="none" w:sz="0" w:space="0" w:color="auto"/>
      </w:divBdr>
    </w:div>
    <w:div w:id="12653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2022-02-16T12:18:00Z</dcterms:created>
  <dcterms:modified xsi:type="dcterms:W3CDTF">2022-11-04T11:06:00Z</dcterms:modified>
</cp:coreProperties>
</file>