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A3F6" w14:textId="77777777" w:rsidR="00964F28" w:rsidRDefault="005E2D7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Додаток 2</w:t>
      </w:r>
    </w:p>
    <w:p w14:paraId="3B0A14A5" w14:textId="77777777" w:rsidR="00964F28" w:rsidRDefault="005E2D7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 тендерної документації</w:t>
      </w:r>
    </w:p>
    <w:p w14:paraId="0CC6D696" w14:textId="77777777" w:rsidR="00964F28" w:rsidRDefault="005E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Технічна специфікація </w:t>
      </w:r>
    </w:p>
    <w:p w14:paraId="4322E766" w14:textId="77777777" w:rsidR="00964F28" w:rsidRDefault="005E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(Інформація про технічні, якісні та кількісні характеристики предмета закупівлі)</w:t>
      </w:r>
    </w:p>
    <w:p w14:paraId="2D1402A8" w14:textId="77777777" w:rsidR="00964F28" w:rsidRDefault="00964F28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73B6AF42" w14:textId="0325C128" w:rsidR="00964F28" w:rsidRDefault="005E2D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ПРЕДМЕТ ЗАКУПІВЛІ: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ДК 021:2015 “Єдиний закупівельний словник” –  код </w:t>
      </w:r>
      <w:r>
        <w:rPr>
          <w:rFonts w:ascii="Times New Roman" w:hAnsi="Times New Roman"/>
          <w:color w:val="000000"/>
        </w:rPr>
        <w:t xml:space="preserve">15110000-2 </w:t>
      </w:r>
      <w:r>
        <w:rPr>
          <w:rFonts w:ascii="Times New Roman" w:hAnsi="Times New Roman"/>
        </w:rPr>
        <w:t>– «</w:t>
      </w:r>
      <w:r>
        <w:rPr>
          <w:rFonts w:ascii="Times New Roman" w:hAnsi="Times New Roman"/>
          <w:sz w:val="24"/>
          <w:szCs w:val="24"/>
        </w:rPr>
        <w:t>М'ясо</w:t>
      </w:r>
      <w:r>
        <w:rPr>
          <w:rFonts w:ascii="Times New Roman" w:hAnsi="Times New Roman"/>
        </w:rPr>
        <w:t>»</w:t>
      </w:r>
      <w:r w:rsidR="00D7051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color w:val="000000"/>
          <w:sz w:val="24"/>
          <w:szCs w:val="24"/>
        </w:rPr>
        <w:t xml:space="preserve">15112100-7 </w:t>
      </w:r>
      <w:r>
        <w:rPr>
          <w:rFonts w:ascii="Times New Roman" w:hAnsi="Times New Roman"/>
          <w:sz w:val="24"/>
          <w:szCs w:val="24"/>
        </w:rPr>
        <w:t>курятина).</w:t>
      </w:r>
    </w:p>
    <w:tbl>
      <w:tblPr>
        <w:tblpPr w:leftFromText="180" w:rightFromText="180" w:vertAnchor="text" w:horzAnchor="page" w:tblpX="1540" w:tblpY="520"/>
        <w:tblOverlap w:val="never"/>
        <w:tblW w:w="9705" w:type="dxa"/>
        <w:tblLayout w:type="fixed"/>
        <w:tblLook w:val="04A0" w:firstRow="1" w:lastRow="0" w:firstColumn="1" w:lastColumn="0" w:noHBand="0" w:noVBand="1"/>
      </w:tblPr>
      <w:tblGrid>
        <w:gridCol w:w="2252"/>
        <w:gridCol w:w="4748"/>
        <w:gridCol w:w="1276"/>
        <w:gridCol w:w="1429"/>
      </w:tblGrid>
      <w:tr w:rsidR="00964F28" w14:paraId="67D08118" w14:textId="77777777">
        <w:trPr>
          <w:trHeight w:val="615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6E7B13" w14:textId="77777777" w:rsidR="00964F28" w:rsidRDefault="005E2D7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Найменування предмета закупівлі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46ABC" w14:textId="77777777" w:rsidR="00964F28" w:rsidRDefault="005E2D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Технічні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2F782D" w14:textId="77777777" w:rsidR="00964F28" w:rsidRDefault="005E2D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Одиниця виміру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233EE" w14:textId="77777777" w:rsidR="00964F28" w:rsidRDefault="005E2D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Обсяг закупівлі</w:t>
            </w:r>
          </w:p>
          <w:p w14:paraId="772F2CA4" w14:textId="77777777" w:rsidR="00964F28" w:rsidRDefault="00964F2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4F28" w14:paraId="3AE6CC33" w14:textId="77777777">
        <w:trPr>
          <w:trHeight w:val="615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EF263" w14:textId="61AEEF4D" w:rsidR="00964F28" w:rsidRDefault="005F3D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5E2D7A">
              <w:rPr>
                <w:rFonts w:ascii="Times New Roman" w:hAnsi="Times New Roman"/>
                <w:b/>
                <w:bCs/>
                <w:sz w:val="24"/>
                <w:szCs w:val="24"/>
              </w:rPr>
              <w:t>урятина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Чверть задня куряча, охолоджена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3BD" w14:textId="77777777" w:rsidR="00964F28" w:rsidRDefault="005E2D7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Курятина.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Чверть задня куряча, охолоджена, вагова,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відповідність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відповідність </w:t>
            </w:r>
            <w:r>
              <w:rPr>
                <w:rFonts w:ascii="Times New Roman" w:hAnsi="Times New Roman"/>
                <w:sz w:val="24"/>
                <w:szCs w:val="24"/>
              </w:rPr>
              <w:t>діючим державним стандартам ДСТУ або ТУ. Повинне мати поверхню біло-рожевого кольору;  бути знекровлене, чисте; тканина м’яз щільна, пружна, злегка волога, але не липка, без залишків пір’я, пуху, пеньків та волосоподібного пір’я, подряпин, розривів поверхні, плям, синців; без переломів стегнових кісток.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FFC" w14:textId="77777777" w:rsidR="00964F28" w:rsidRDefault="005E2D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E479" w14:textId="4D37BD77" w:rsidR="00964F28" w:rsidRDefault="00C62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1" w:name="_GoBack"/>
            <w:bookmarkEnd w:id="1"/>
            <w:r w:rsidR="005E2D7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64F28" w14:paraId="5B1F995B" w14:textId="77777777">
        <w:trPr>
          <w:trHeight w:val="615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CFD" w14:textId="77777777" w:rsidR="00964F28" w:rsidRDefault="00964F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54B" w14:textId="110ED73F" w:rsidR="00964F28" w:rsidRDefault="00964F28" w:rsidP="005F3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0DB" w14:textId="00E7C18B" w:rsidR="00964F28" w:rsidRDefault="00964F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A688" w14:textId="01645399" w:rsidR="00964F28" w:rsidRDefault="0096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4B0BC0" w14:textId="77777777" w:rsidR="00964F28" w:rsidRDefault="00964F28">
      <w:pPr>
        <w:jc w:val="both"/>
        <w:rPr>
          <w:rFonts w:ascii="Times New Roman" w:hAnsi="Times New Roman"/>
          <w:sz w:val="24"/>
          <w:szCs w:val="24"/>
        </w:rPr>
      </w:pPr>
    </w:p>
    <w:p w14:paraId="680EC0D4" w14:textId="77777777" w:rsidR="00964F28" w:rsidRDefault="005E2D7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Вимоги до продукції, що закуповується:</w:t>
      </w:r>
    </w:p>
    <w:p w14:paraId="19087D6E" w14:textId="77777777" w:rsidR="00964F28" w:rsidRDefault="005E2D7A">
      <w:pPr>
        <w:pStyle w:val="afb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u w:val="single"/>
          <w:lang w:eastAsia="uk-UA"/>
        </w:rPr>
      </w:pPr>
      <w:r>
        <w:rPr>
          <w:color w:val="000000"/>
          <w:sz w:val="24"/>
          <w:szCs w:val="24"/>
        </w:rPr>
        <w:t xml:space="preserve">Продукція повинна відповідати показникам безпечності та якості для харчових продуктів, чинним нормативним документам ДСТУ або ТУ, затвердженим у встановленому законодавством України порядку. </w:t>
      </w:r>
      <w:r>
        <w:rPr>
          <w:sz w:val="24"/>
          <w:szCs w:val="24"/>
          <w:u w:val="single"/>
        </w:rPr>
        <w:t>Учасник закупівлі повинен надати в складі тендерної пропозиції на запропонований зразок товару декларації виробника/якісного посвідчення/ іншого документу виробника на товар) згідно чинного законодавства.</w:t>
      </w:r>
    </w:p>
    <w:p w14:paraId="75C09476" w14:textId="77777777" w:rsidR="00964F28" w:rsidRDefault="005E2D7A">
      <w:pPr>
        <w:pStyle w:val="afb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SimSun"/>
          <w:sz w:val="24"/>
          <w:szCs w:val="24"/>
          <w:lang w:val="en-US" w:eastAsia="uk-UA"/>
        </w:rPr>
      </w:pPr>
      <w:r>
        <w:rPr>
          <w:sz w:val="24"/>
          <w:szCs w:val="24"/>
          <w:lang w:eastAsia="uk-UA"/>
        </w:rPr>
        <w:t>Законом України №771 “Про основні принципи та вимоги до безпечності та якості харчових продуктів”) (прикінцеві та перехідні положення) передбачено обов'язковість розроблення, введення в дію та застосування постійних процедур, які засновані на принципах системи аналізу небезпечних факторів та контролю у критичних точках (НАССР) для операторів ринку (виробників. Постачальників тощо). До закладів Замовника має постачатись товар виробників, які обов'язково розробили, ввели в дію та застосовують постійні процедури, які засновані на принципах системи аналізу небезпечних факторів та контролю у критичних точках (НАССР)</w:t>
      </w:r>
      <w:r>
        <w:rPr>
          <w:sz w:val="24"/>
          <w:szCs w:val="24"/>
          <w:lang w:val="en-US" w:eastAsia="uk-UA"/>
        </w:rPr>
        <w:t>.</w:t>
      </w:r>
      <w:r>
        <w:rPr>
          <w:sz w:val="24"/>
          <w:szCs w:val="24"/>
          <w:lang w:eastAsia="uk-UA"/>
        </w:rPr>
        <w:t xml:space="preserve"> </w:t>
      </w:r>
      <w:r>
        <w:rPr>
          <w:rFonts w:eastAsia="SimSun"/>
          <w:sz w:val="24"/>
          <w:szCs w:val="24"/>
          <w:u w:val="single"/>
          <w:lang w:eastAsia="uk-UA"/>
        </w:rPr>
        <w:t>Учасник надає інформаційну</w:t>
      </w:r>
      <w:r>
        <w:rPr>
          <w:rFonts w:eastAsia="SimSun"/>
          <w:sz w:val="24"/>
          <w:szCs w:val="24"/>
          <w:u w:val="single"/>
          <w:lang w:val="en-US" w:eastAsia="uk-UA"/>
        </w:rPr>
        <w:t xml:space="preserve"> довідку з метою підтвердження </w:t>
      </w:r>
      <w:r>
        <w:rPr>
          <w:rFonts w:eastAsia="SimSun"/>
          <w:sz w:val="24"/>
          <w:szCs w:val="24"/>
          <w:u w:val="single"/>
          <w:lang w:eastAsia="uk-UA"/>
        </w:rPr>
        <w:t>запровадження обов’язкових постійно діючих процедур, заснованих на принципах системи управління безпечністю харчових продуктів (НАССР)</w:t>
      </w:r>
      <w:r>
        <w:rPr>
          <w:sz w:val="24"/>
          <w:szCs w:val="24"/>
          <w:u w:val="single"/>
          <w:lang w:val="en-US" w:eastAsia="uk-UA"/>
        </w:rPr>
        <w:t>.</w:t>
      </w:r>
    </w:p>
    <w:p w14:paraId="780C7936" w14:textId="77777777" w:rsidR="00964F28" w:rsidRDefault="00964F28">
      <w:pPr>
        <w:tabs>
          <w:tab w:val="left" w:pos="284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9300AF" w14:textId="77777777" w:rsidR="00964F28" w:rsidRDefault="005E2D7A">
      <w:pPr>
        <w:tabs>
          <w:tab w:val="left" w:pos="284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Умови поставки:</w:t>
      </w:r>
    </w:p>
    <w:p w14:paraId="4F8DFAFC" w14:textId="77777777" w:rsidR="00964F28" w:rsidRDefault="005E2D7A">
      <w:pPr>
        <w:pStyle w:val="afb"/>
        <w:numPr>
          <w:ilvl w:val="0"/>
          <w:numId w:val="5"/>
        </w:numPr>
        <w:tabs>
          <w:tab w:val="left" w:pos="284"/>
          <w:tab w:val="left" w:pos="1560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Протягом дії договору про закупівлю, укладеного за результатами тендерних торгів, товар (предмет закупівлі) повинен зберігатись у Учасника та доставлятись Замовнику за його адресою, транспортом і за рахунок Учасника за заявкою і у кількостях, визначених Замовником. </w:t>
      </w:r>
      <w:r>
        <w:rPr>
          <w:color w:val="000000"/>
          <w:sz w:val="24"/>
          <w:szCs w:val="24"/>
        </w:rPr>
        <w:t xml:space="preserve">Строк поставки товарів: </w:t>
      </w:r>
      <w:r>
        <w:rPr>
          <w:sz w:val="24"/>
          <w:szCs w:val="24"/>
        </w:rPr>
        <w:t>через один календарний день (протягом дії договору)</w:t>
      </w:r>
      <w:r>
        <w:rPr>
          <w:color w:val="000000"/>
          <w:sz w:val="24"/>
          <w:szCs w:val="24"/>
        </w:rPr>
        <w:t>.</w:t>
      </w:r>
    </w:p>
    <w:p w14:paraId="14E28558" w14:textId="77777777" w:rsidR="00964F28" w:rsidRDefault="005E2D7A">
      <w:pPr>
        <w:pStyle w:val="afb"/>
        <w:numPr>
          <w:ilvl w:val="0"/>
          <w:numId w:val="6"/>
        </w:numPr>
        <w:tabs>
          <w:tab w:val="left" w:pos="284"/>
          <w:tab w:val="left" w:pos="1560"/>
        </w:tabs>
        <w:suppressAutoHyphens/>
        <w:ind w:left="0" w:firstLine="0"/>
        <w:jc w:val="both"/>
      </w:pPr>
      <w:r>
        <w:rPr>
          <w:sz w:val="24"/>
          <w:szCs w:val="24"/>
        </w:rPr>
        <w:t xml:space="preserve">Учасник повинен взяття на себе зобов'язань (на разі укладання договору) систематично проводити контрольні дослідження товару в акредитованій лабораторії на вимогу замовника. </w:t>
      </w:r>
      <w:r>
        <w:rPr>
          <w:sz w:val="24"/>
          <w:szCs w:val="24"/>
        </w:rPr>
        <w:lastRenderedPageBreak/>
        <w:t>На разі невиконання даної умови замовник набуває право розірвати договір в односторонньому порядку, а учасник втрачає забезпечення договору (якщо забезпечення договору вимагається тендерною документацією). Дослідження проводяться з метою визначення епідеміологічної та токсикологічної небезпечності продуктів (мікробного обсіменіння, забруднення пестицидами, іншими токсикантами, амбарними шкідниками, пліснявою), щодо молочних продуктів - додатково перевіряється хімічний склад на наявність рослинних домішок.</w:t>
      </w:r>
    </w:p>
    <w:p w14:paraId="512234BE" w14:textId="77777777" w:rsidR="00964F28" w:rsidRDefault="005E2D7A">
      <w:pPr>
        <w:pStyle w:val="afb"/>
        <w:numPr>
          <w:ilvl w:val="0"/>
          <w:numId w:val="6"/>
        </w:numPr>
        <w:tabs>
          <w:tab w:val="left" w:pos="284"/>
          <w:tab w:val="left" w:pos="1560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 разі виникнення обґрунтованої потреби перевірки якості товару, що буде постачатися за договором переможцем процедури закупівлі (наявність скарг на якість чи безпечність товару, невластивий товару зовнішній вигляд, запах, спотворення смакових якостей, в тому числі якщо таке буде виявлено під час термічної обробки товару, зафіксовані випадки харчових отруєнь чи розладів травлення в закладі, куди постачається товар), в будь-який час до моменту повного виконання договору, на вимогу Замовника або його представника, учасник повинен за першою вимогою замовника оплатити проведення фізико - хімічних випробувань товару у відповідних акредитованих лабораторіях. У випадках, вказаних у даному абзаці, замовник проводить самостійний відбір зразків комісією, створеною за участі не менш, ніж трьох працівників замовника, без попереднього повідомлення про такий відбір учасника.</w:t>
      </w:r>
    </w:p>
    <w:p w14:paraId="284E4A92" w14:textId="77777777" w:rsidR="00964F28" w:rsidRDefault="005E2D7A">
      <w:pPr>
        <w:pStyle w:val="afb"/>
        <w:numPr>
          <w:ilvl w:val="0"/>
          <w:numId w:val="6"/>
        </w:numPr>
        <w:tabs>
          <w:tab w:val="left" w:pos="284"/>
          <w:tab w:val="left" w:pos="1560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Водій автотранспорту, а також  особи,  що  супроводжують  продукти  у  дорозі  (експедитор транспортний) і виконують вантажно-розвантажувальні  роботи (вантажник),  повинні  мати при собі особову медичну  книжку  з  результатами проходження обов'язкових медичних оглядів та забезпечені санітарним одягом (халатом, рукавицями). </w:t>
      </w:r>
    </w:p>
    <w:p w14:paraId="5E8F8BF1" w14:textId="77777777" w:rsidR="00964F28" w:rsidRDefault="005E2D7A">
      <w:pPr>
        <w:pStyle w:val="afb"/>
        <w:numPr>
          <w:ilvl w:val="0"/>
          <w:numId w:val="6"/>
        </w:numPr>
        <w:tabs>
          <w:tab w:val="left" w:pos="284"/>
          <w:tab w:val="left" w:pos="1560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Медичний огляд водіїв автотранспортних засобів проводиться з метою визначення придатності особи до безпечного керування транспортними засобами, тому водії повинні мати медичні довідки.</w:t>
      </w:r>
    </w:p>
    <w:p w14:paraId="43F892A3" w14:textId="77777777" w:rsidR="00964F28" w:rsidRDefault="0096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964F28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9A2B" w14:textId="77777777" w:rsidR="00206FC8" w:rsidRDefault="00206FC8">
      <w:pPr>
        <w:spacing w:after="0" w:line="240" w:lineRule="auto"/>
      </w:pPr>
      <w:r>
        <w:separator/>
      </w:r>
    </w:p>
  </w:endnote>
  <w:endnote w:type="continuationSeparator" w:id="0">
    <w:p w14:paraId="252F2724" w14:textId="77777777" w:rsidR="00206FC8" w:rsidRDefault="0020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17151" w14:textId="77777777" w:rsidR="00206FC8" w:rsidRDefault="00206FC8">
      <w:pPr>
        <w:spacing w:after="0" w:line="240" w:lineRule="auto"/>
      </w:pPr>
      <w:r>
        <w:separator/>
      </w:r>
    </w:p>
  </w:footnote>
  <w:footnote w:type="continuationSeparator" w:id="0">
    <w:p w14:paraId="52161A6F" w14:textId="77777777" w:rsidR="00206FC8" w:rsidRDefault="0020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A2BC" w14:textId="77777777" w:rsidR="00964F28" w:rsidRDefault="005E2D7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14:paraId="17EAD93F" w14:textId="77777777" w:rsidR="00964F28" w:rsidRDefault="00964F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EEF7A58"/>
    <w:multiLevelType w:val="singleLevel"/>
    <w:tmpl w:val="AEEF7A58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F5B2F50"/>
    <w:multiLevelType w:val="multilevel"/>
    <w:tmpl w:val="1F5B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8B2713"/>
    <w:multiLevelType w:val="singleLevel"/>
    <w:tmpl w:val="398B2713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55BD092B"/>
    <w:multiLevelType w:val="multilevel"/>
    <w:tmpl w:val="55BD092B"/>
    <w:lvl w:ilvl="0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6CFADEE7"/>
    <w:multiLevelType w:val="singleLevel"/>
    <w:tmpl w:val="6CFADEE7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55"/>
    <w:rsid w:val="00020344"/>
    <w:rsid w:val="00057981"/>
    <w:rsid w:val="000C1680"/>
    <w:rsid w:val="000C4C71"/>
    <w:rsid w:val="000F4FFC"/>
    <w:rsid w:val="00115DC5"/>
    <w:rsid w:val="00152D70"/>
    <w:rsid w:val="001B2B7B"/>
    <w:rsid w:val="001C7504"/>
    <w:rsid w:val="001E1FA2"/>
    <w:rsid w:val="00206FC8"/>
    <w:rsid w:val="002710CF"/>
    <w:rsid w:val="00273386"/>
    <w:rsid w:val="00294925"/>
    <w:rsid w:val="002A5E0B"/>
    <w:rsid w:val="002B1270"/>
    <w:rsid w:val="002C743B"/>
    <w:rsid w:val="002E30C4"/>
    <w:rsid w:val="00305A78"/>
    <w:rsid w:val="003244D2"/>
    <w:rsid w:val="00325D22"/>
    <w:rsid w:val="00377EF2"/>
    <w:rsid w:val="00387EF9"/>
    <w:rsid w:val="003E274D"/>
    <w:rsid w:val="00406B51"/>
    <w:rsid w:val="00407E40"/>
    <w:rsid w:val="004105E7"/>
    <w:rsid w:val="00427262"/>
    <w:rsid w:val="00437B0F"/>
    <w:rsid w:val="00455BFA"/>
    <w:rsid w:val="00456528"/>
    <w:rsid w:val="00475429"/>
    <w:rsid w:val="004D580E"/>
    <w:rsid w:val="005769EA"/>
    <w:rsid w:val="005A1782"/>
    <w:rsid w:val="005D789A"/>
    <w:rsid w:val="005E2D7A"/>
    <w:rsid w:val="005F3DD3"/>
    <w:rsid w:val="00663D3E"/>
    <w:rsid w:val="006A69EB"/>
    <w:rsid w:val="006D5A4E"/>
    <w:rsid w:val="006F206A"/>
    <w:rsid w:val="00721E31"/>
    <w:rsid w:val="0072307D"/>
    <w:rsid w:val="00727F49"/>
    <w:rsid w:val="00735792"/>
    <w:rsid w:val="00756737"/>
    <w:rsid w:val="007C013D"/>
    <w:rsid w:val="007D39C9"/>
    <w:rsid w:val="007D40FC"/>
    <w:rsid w:val="007D6A40"/>
    <w:rsid w:val="008053AD"/>
    <w:rsid w:val="008113FC"/>
    <w:rsid w:val="008270D0"/>
    <w:rsid w:val="008C1D01"/>
    <w:rsid w:val="00937CA6"/>
    <w:rsid w:val="00951948"/>
    <w:rsid w:val="00964F28"/>
    <w:rsid w:val="00994B0D"/>
    <w:rsid w:val="009A775B"/>
    <w:rsid w:val="009D0F55"/>
    <w:rsid w:val="009D5F25"/>
    <w:rsid w:val="00A0558F"/>
    <w:rsid w:val="00A16522"/>
    <w:rsid w:val="00A26DC4"/>
    <w:rsid w:val="00A409B8"/>
    <w:rsid w:val="00A55CCE"/>
    <w:rsid w:val="00A64CD8"/>
    <w:rsid w:val="00A678D7"/>
    <w:rsid w:val="00A72630"/>
    <w:rsid w:val="00AF5F53"/>
    <w:rsid w:val="00B05D10"/>
    <w:rsid w:val="00B46014"/>
    <w:rsid w:val="00BA5FD2"/>
    <w:rsid w:val="00BF246C"/>
    <w:rsid w:val="00BF2A7E"/>
    <w:rsid w:val="00C03629"/>
    <w:rsid w:val="00C177C0"/>
    <w:rsid w:val="00C625EC"/>
    <w:rsid w:val="00C62E77"/>
    <w:rsid w:val="00CA4762"/>
    <w:rsid w:val="00CF22DB"/>
    <w:rsid w:val="00D01AF6"/>
    <w:rsid w:val="00D01EF1"/>
    <w:rsid w:val="00D4646C"/>
    <w:rsid w:val="00D70518"/>
    <w:rsid w:val="00D74EE5"/>
    <w:rsid w:val="00DD2AC2"/>
    <w:rsid w:val="00E03F4F"/>
    <w:rsid w:val="00E07BC9"/>
    <w:rsid w:val="00E21877"/>
    <w:rsid w:val="00E50E57"/>
    <w:rsid w:val="00E7395D"/>
    <w:rsid w:val="00E95491"/>
    <w:rsid w:val="00EA50D3"/>
    <w:rsid w:val="00EA67A5"/>
    <w:rsid w:val="00ED4B1A"/>
    <w:rsid w:val="00F01F74"/>
    <w:rsid w:val="00F0489E"/>
    <w:rsid w:val="00F1095C"/>
    <w:rsid w:val="00F11022"/>
    <w:rsid w:val="00F41B9D"/>
    <w:rsid w:val="00F435BC"/>
    <w:rsid w:val="00F721FB"/>
    <w:rsid w:val="00F73028"/>
    <w:rsid w:val="00F80DB8"/>
    <w:rsid w:val="00FA0696"/>
    <w:rsid w:val="00FD49E4"/>
    <w:rsid w:val="00FD5AD2"/>
    <w:rsid w:val="010B15DC"/>
    <w:rsid w:val="04854889"/>
    <w:rsid w:val="05DC7DAD"/>
    <w:rsid w:val="07070B14"/>
    <w:rsid w:val="09637485"/>
    <w:rsid w:val="0A4B3D6F"/>
    <w:rsid w:val="0AC26BF5"/>
    <w:rsid w:val="0B3A6851"/>
    <w:rsid w:val="0DC431F2"/>
    <w:rsid w:val="0DF436C1"/>
    <w:rsid w:val="132E4F3C"/>
    <w:rsid w:val="162372B2"/>
    <w:rsid w:val="16900BDB"/>
    <w:rsid w:val="169050D0"/>
    <w:rsid w:val="177A5D45"/>
    <w:rsid w:val="1BC83664"/>
    <w:rsid w:val="1C8E2190"/>
    <w:rsid w:val="1D58652D"/>
    <w:rsid w:val="1D937ECC"/>
    <w:rsid w:val="1EE34F72"/>
    <w:rsid w:val="23330550"/>
    <w:rsid w:val="24C005DE"/>
    <w:rsid w:val="28DA3CC0"/>
    <w:rsid w:val="2A673A15"/>
    <w:rsid w:val="2ADF240D"/>
    <w:rsid w:val="2B843404"/>
    <w:rsid w:val="2DD04F8D"/>
    <w:rsid w:val="31917816"/>
    <w:rsid w:val="350B11E7"/>
    <w:rsid w:val="35B16E51"/>
    <w:rsid w:val="37DA174E"/>
    <w:rsid w:val="38DF0D76"/>
    <w:rsid w:val="3E152060"/>
    <w:rsid w:val="3F18713E"/>
    <w:rsid w:val="3FB05792"/>
    <w:rsid w:val="402E6B2A"/>
    <w:rsid w:val="41EF0A46"/>
    <w:rsid w:val="43665F7A"/>
    <w:rsid w:val="487B4C03"/>
    <w:rsid w:val="48807B70"/>
    <w:rsid w:val="4B2D71FD"/>
    <w:rsid w:val="4F494446"/>
    <w:rsid w:val="505D44A1"/>
    <w:rsid w:val="590D1238"/>
    <w:rsid w:val="594D653C"/>
    <w:rsid w:val="5F892BC2"/>
    <w:rsid w:val="62DD325D"/>
    <w:rsid w:val="6387113B"/>
    <w:rsid w:val="68B65545"/>
    <w:rsid w:val="69DF17B1"/>
    <w:rsid w:val="6BD02A61"/>
    <w:rsid w:val="6C924F2A"/>
    <w:rsid w:val="6C9504F9"/>
    <w:rsid w:val="6CBC1BD2"/>
    <w:rsid w:val="71E74621"/>
    <w:rsid w:val="773A1944"/>
    <w:rsid w:val="77845A63"/>
    <w:rsid w:val="77D32D8F"/>
    <w:rsid w:val="7A3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5FA54"/>
  <w14:defaultImageDpi w14:val="0"/>
  <w15:docId w15:val="{2A7EA081-5F02-4669-BD50-1817E81F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360" w:after="120" w:line="240" w:lineRule="auto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60" w:after="0" w:line="240" w:lineRule="auto"/>
      <w:jc w:val="center"/>
      <w:outlineLvl w:val="5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paragraph" w:styleId="5">
    <w:name w:val="List 5"/>
    <w:basedOn w:val="a"/>
    <w:uiPriority w:val="99"/>
    <w:qFormat/>
    <w:pPr>
      <w:spacing w:after="0" w:line="240" w:lineRule="auto"/>
      <w:ind w:left="1415" w:hanging="283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qFormat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qFormat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23">
    <w:name w:val="Body Text Indent 2"/>
    <w:basedOn w:val="a"/>
    <w:link w:val="24"/>
    <w:uiPriority w:val="99"/>
    <w:qFormat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pPr>
      <w:spacing w:after="0" w:line="360" w:lineRule="auto"/>
      <w:jc w:val="center"/>
    </w:pPr>
    <w:rPr>
      <w:rFonts w:ascii="Times New Roman" w:hAnsi="Times New Roman"/>
      <w:b/>
      <w:sz w:val="24"/>
      <w:szCs w:val="24"/>
      <w:lang w:val="en-GB"/>
    </w:rPr>
  </w:style>
  <w:style w:type="character" w:styleId="af6">
    <w:name w:val="annotation reference"/>
    <w:uiPriority w:val="99"/>
    <w:semiHidden/>
    <w:unhideWhenUsed/>
    <w:qFormat/>
    <w:rPr>
      <w:rFonts w:cs="Times New Roman"/>
      <w:sz w:val="16"/>
    </w:rPr>
  </w:style>
  <w:style w:type="character" w:styleId="af7">
    <w:name w:val="Hyperlink"/>
    <w:uiPriority w:val="99"/>
    <w:unhideWhenUsed/>
    <w:qFormat/>
    <w:rPr>
      <w:rFonts w:cs="Times New Roman"/>
      <w:color w:val="0000FF"/>
      <w:u w:val="single"/>
    </w:rPr>
  </w:style>
  <w:style w:type="character" w:styleId="af8">
    <w:name w:val="page number"/>
    <w:uiPriority w:val="99"/>
    <w:qFormat/>
    <w:rPr>
      <w:rFonts w:cs="Times New Roman"/>
    </w:rPr>
  </w:style>
  <w:style w:type="character" w:styleId="af9">
    <w:name w:val="Strong"/>
    <w:uiPriority w:val="22"/>
    <w:qFormat/>
    <w:rPr>
      <w:rFonts w:cs="Times New Roman"/>
      <w:b/>
    </w:rPr>
  </w:style>
  <w:style w:type="table" w:styleId="afa">
    <w:name w:val="Table Grid"/>
    <w:basedOn w:val="a1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qFormat/>
    <w:locked/>
    <w:rPr>
      <w:rFonts w:ascii="Times New Roman" w:hAnsi="Times New Roman" w:cs="Times New Roman"/>
      <w:b/>
      <w:sz w:val="20"/>
      <w:szCs w:val="20"/>
      <w:lang w:val="zh-CN" w:eastAsia="ru-RU"/>
    </w:rPr>
  </w:style>
  <w:style w:type="character" w:customStyle="1" w:styleId="60">
    <w:name w:val="Заголовок 6 Знак"/>
    <w:link w:val="6"/>
    <w:uiPriority w:val="9"/>
    <w:qFormat/>
    <w:locked/>
    <w:rPr>
      <w:rFonts w:ascii="Times New Roman" w:hAnsi="Times New Roman" w:cs="Times New Roman"/>
      <w:b/>
      <w:sz w:val="20"/>
      <w:szCs w:val="20"/>
      <w:lang w:val="zh-CN" w:eastAsia="ru-RU"/>
    </w:rPr>
  </w:style>
  <w:style w:type="character" w:customStyle="1" w:styleId="10">
    <w:name w:val="Заголовок 1 Знак"/>
    <w:link w:val="1"/>
    <w:uiPriority w:val="9"/>
    <w:qFormat/>
    <w:locked/>
    <w:rPr>
      <w:rFonts w:ascii="Times New Roman" w:hAnsi="Times New Roman" w:cs="Times New Roman"/>
      <w:b/>
      <w:sz w:val="20"/>
      <w:szCs w:val="20"/>
      <w:lang w:val="zh-CN" w:eastAsia="ru-RU"/>
    </w:rPr>
  </w:style>
  <w:style w:type="character" w:customStyle="1" w:styleId="11">
    <w:name w:val="Íåðàçðåøåííîå óïîìèíàíèå1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paragraph" w:styleId="afb">
    <w:name w:val="List Paragraph"/>
    <w:basedOn w:val="a"/>
    <w:link w:val="afc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ій колонтитул Знак"/>
    <w:link w:val="a9"/>
    <w:uiPriority w:val="99"/>
    <w:qFormat/>
    <w:locked/>
    <w:rPr>
      <w:rFonts w:ascii="Times New Roman" w:hAnsi="Times New Roman" w:cs="Times New Roman"/>
      <w:sz w:val="20"/>
      <w:szCs w:val="20"/>
      <w:lang w:val="zh-CN" w:eastAsia="ru-RU"/>
    </w:rPr>
  </w:style>
  <w:style w:type="character" w:customStyle="1" w:styleId="af2">
    <w:name w:val="Нижній колонтитул Знак"/>
    <w:link w:val="af1"/>
    <w:uiPriority w:val="99"/>
    <w:qFormat/>
    <w:locked/>
    <w:rPr>
      <w:rFonts w:ascii="Times New Roman" w:hAnsi="Times New Roman" w:cs="Times New Roman"/>
      <w:sz w:val="20"/>
      <w:szCs w:val="20"/>
      <w:lang w:val="zh-CN" w:eastAsia="ru-RU"/>
    </w:rPr>
  </w:style>
  <w:style w:type="character" w:customStyle="1" w:styleId="22">
    <w:name w:val="Основний текст 2 Знак"/>
    <w:link w:val="21"/>
    <w:uiPriority w:val="99"/>
    <w:qFormat/>
    <w:locked/>
    <w:rPr>
      <w:rFonts w:ascii="Times New Roman" w:hAnsi="Times New Roman" w:cs="Times New Roman"/>
      <w:b/>
      <w:sz w:val="20"/>
      <w:szCs w:val="20"/>
      <w:lang w:val="zh-CN" w:eastAsia="ru-RU"/>
    </w:rPr>
  </w:style>
  <w:style w:type="character" w:customStyle="1" w:styleId="af5">
    <w:name w:val="Підзаголовок Знак"/>
    <w:link w:val="af4"/>
    <w:uiPriority w:val="11"/>
    <w:qFormat/>
    <w:locked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rvts0">
    <w:name w:val="rvts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c">
    <w:name w:val="Основний текст Знак"/>
    <w:link w:val="ab"/>
    <w:uiPriority w:val="99"/>
    <w:qFormat/>
    <w:locked/>
    <w:rPr>
      <w:rFonts w:ascii="Times New Roman" w:hAnsi="Times New Roman" w:cs="Times New Roman"/>
      <w:sz w:val="20"/>
      <w:szCs w:val="20"/>
      <w:lang w:val="zh-CN" w:eastAsia="ru-RU"/>
    </w:rPr>
  </w:style>
  <w:style w:type="character" w:customStyle="1" w:styleId="24">
    <w:name w:val="Основний текст з відступом 2 Знак"/>
    <w:link w:val="23"/>
    <w:uiPriority w:val="99"/>
    <w:qFormat/>
    <w:locked/>
    <w:rPr>
      <w:rFonts w:ascii="Times New Roman" w:hAnsi="Times New Roman" w:cs="Times New Roman"/>
      <w:sz w:val="20"/>
      <w:szCs w:val="20"/>
      <w:lang w:val="zh-CN" w:eastAsia="ru-RU"/>
    </w:rPr>
  </w:style>
  <w:style w:type="paragraph" w:customStyle="1" w:styleId="Normal2">
    <w:name w:val="Normal2"/>
    <w:qFormat/>
    <w:pPr>
      <w:widowControl w:val="0"/>
      <w:spacing w:line="300" w:lineRule="auto"/>
      <w:jc w:val="both"/>
    </w:pPr>
    <w:rPr>
      <w:rFonts w:ascii="Times New Roman" w:eastAsia="Times New Roman" w:hAnsi="Times New Roman"/>
      <w:sz w:val="22"/>
      <w:lang w:eastAsia="ru-RU"/>
    </w:rPr>
  </w:style>
  <w:style w:type="character" w:customStyle="1" w:styleId="ae">
    <w:name w:val="Основний текст з відступом Знак"/>
    <w:link w:val="ad"/>
    <w:uiPriority w:val="99"/>
    <w:qFormat/>
    <w:locked/>
    <w:rPr>
      <w:rFonts w:ascii="Times New Roman" w:hAnsi="Times New Roman" w:cs="Times New Roman"/>
      <w:sz w:val="20"/>
      <w:szCs w:val="20"/>
      <w:lang w:val="zh-CN" w:eastAsia="ru-RU"/>
    </w:rPr>
  </w:style>
  <w:style w:type="paragraph" w:customStyle="1" w:styleId="12">
    <w:name w:val="Ñïèñîê1"/>
    <w:basedOn w:val="a"/>
    <w:qFormat/>
    <w:pPr>
      <w:tabs>
        <w:tab w:val="left" w:pos="432"/>
        <w:tab w:val="left" w:pos="720"/>
      </w:tabs>
      <w:spacing w:before="240" w:after="240" w:line="240" w:lineRule="auto"/>
      <w:jc w:val="both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LO-normal">
    <w:name w:val="LO-normal"/>
    <w:uiPriority w:val="99"/>
    <w:qFormat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customStyle="1" w:styleId="afd">
    <w:name w:val="Íàçâàíèå Çíàê"/>
    <w:qFormat/>
    <w:rPr>
      <w:rFonts w:ascii="Arial" w:hAnsi="Arial"/>
      <w:b/>
      <w:sz w:val="18"/>
      <w:lang w:val="uk-UA" w:eastAsia="zh-CN"/>
    </w:rPr>
  </w:style>
  <w:style w:type="paragraph" w:customStyle="1" w:styleId="13">
    <w:name w:val="Áåç èíòåðâàëà1"/>
    <w:qFormat/>
    <w:rPr>
      <w:rFonts w:eastAsia="Times New Roman"/>
      <w:sz w:val="22"/>
      <w:szCs w:val="22"/>
      <w:lang w:eastAsia="en-US"/>
    </w:rPr>
  </w:style>
  <w:style w:type="character" w:customStyle="1" w:styleId="size">
    <w:name w:val="size"/>
    <w:qFormat/>
  </w:style>
  <w:style w:type="character" w:customStyle="1" w:styleId="af0">
    <w:name w:val="Назва Знак"/>
    <w:link w:val="af"/>
    <w:uiPriority w:val="10"/>
    <w:qFormat/>
    <w:locked/>
    <w:rPr>
      <w:rFonts w:ascii="Calibri Light" w:hAnsi="Calibri Light" w:cs="Times New Roman"/>
      <w:spacing w:val="-10"/>
      <w:kern w:val="28"/>
      <w:sz w:val="56"/>
      <w:szCs w:val="56"/>
      <w:lang w:val="zh-CN" w:eastAsia="ru-RU"/>
    </w:rPr>
  </w:style>
  <w:style w:type="character" w:customStyle="1" w:styleId="a4">
    <w:name w:val="Текст у виносці Знак"/>
    <w:link w:val="a3"/>
    <w:uiPriority w:val="99"/>
    <w:semiHidden/>
    <w:qFormat/>
    <w:locked/>
    <w:rPr>
      <w:rFonts w:ascii="Segoe UI" w:hAnsi="Segoe UI" w:cs="Segoe UI"/>
      <w:sz w:val="18"/>
      <w:szCs w:val="18"/>
      <w:lang w:val="zh-CN" w:eastAsia="ru-RU"/>
    </w:rPr>
  </w:style>
  <w:style w:type="character" w:customStyle="1" w:styleId="afc">
    <w:name w:val="Абзац списку Знак"/>
    <w:link w:val="afb"/>
    <w:uiPriority w:val="34"/>
    <w:qFormat/>
    <w:locked/>
    <w:rPr>
      <w:rFonts w:ascii="Times New Roman" w:hAnsi="Times New Roman"/>
      <w:sz w:val="20"/>
      <w:lang w:val="zh-CN" w:eastAsia="ru-RU"/>
    </w:rPr>
  </w:style>
  <w:style w:type="paragraph" w:customStyle="1" w:styleId="afe">
    <w:name w:val="Çíàê Çíàê Çíàê"/>
    <w:basedOn w:val="a"/>
    <w:qFormat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6">
    <w:name w:val="Текст примітки Знак"/>
    <w:link w:val="a5"/>
    <w:uiPriority w:val="99"/>
    <w:semiHidden/>
    <w:qFormat/>
    <w:locked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ма примітки Знак"/>
    <w:link w:val="a7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customStyle="1" w:styleId="14">
    <w:name w:val="Ñ³òêà òàáëèö³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39">
    <w:name w:val="_Style 39"/>
    <w:basedOn w:val="TableNormal2"/>
    <w:qFormat/>
    <w:pPr>
      <w:spacing w:after="0"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2847</Words>
  <Characters>1624</Characters>
  <Application>Microsoft Office Word</Application>
  <DocSecurity>0</DocSecurity>
  <Lines>13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Àíäð³é Êóçüìåíêî</dc:creator>
  <cp:lastModifiedBy>Windows-10</cp:lastModifiedBy>
  <cp:revision>8</cp:revision>
  <cp:lastPrinted>2022-12-29T07:28:00Z</cp:lastPrinted>
  <dcterms:created xsi:type="dcterms:W3CDTF">2021-11-04T11:25:00Z</dcterms:created>
  <dcterms:modified xsi:type="dcterms:W3CDTF">2023-01-30T11:56:00Z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