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72EBFCD1" w:rsidR="00C0459B" w:rsidRPr="00AE4089" w:rsidRDefault="00C0459B" w:rsidP="00BD4119">
            <w:pPr>
              <w:spacing w:line="264" w:lineRule="auto"/>
              <w:jc w:val="right"/>
              <w:rPr>
                <w:b/>
                <w:bCs/>
              </w:rPr>
            </w:pPr>
            <w:r w:rsidRPr="00AE4089">
              <w:rPr>
                <w:b/>
                <w:bCs/>
              </w:rPr>
              <w:t xml:space="preserve">                 від</w:t>
            </w:r>
            <w:r w:rsidRPr="00AE4089">
              <w:t xml:space="preserve"> </w:t>
            </w:r>
            <w:r w:rsidRPr="00AE4089">
              <w:rPr>
                <w:b/>
              </w:rPr>
              <w:t>«</w:t>
            </w:r>
            <w:r w:rsidR="00BD4119">
              <w:rPr>
                <w:b/>
              </w:rPr>
              <w:t>14</w:t>
            </w:r>
            <w:r w:rsidRPr="00B75EDC">
              <w:rPr>
                <w:b/>
              </w:rPr>
              <w:t xml:space="preserve">» </w:t>
            </w:r>
            <w:r w:rsidR="00BD4119">
              <w:rPr>
                <w:b/>
              </w:rPr>
              <w:t>березня</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sz w:val="28"/>
          <w:szCs w:val="28"/>
        </w:rPr>
      </w:pPr>
      <w:r w:rsidRPr="00F6182C">
        <w:rPr>
          <w:sz w:val="28"/>
          <w:szCs w:val="28"/>
        </w:rPr>
        <w:t xml:space="preserve">на закупівлю </w:t>
      </w:r>
      <w:r w:rsidR="00EB3768" w:rsidRPr="00F6182C">
        <w:rPr>
          <w:sz w:val="28"/>
          <w:szCs w:val="28"/>
        </w:rPr>
        <w:t>товару</w:t>
      </w:r>
      <w:r w:rsidR="00E71EE9" w:rsidRPr="00F6182C">
        <w:rPr>
          <w:sz w:val="28"/>
          <w:szCs w:val="28"/>
        </w:rPr>
        <w:t>:</w:t>
      </w:r>
    </w:p>
    <w:p w14:paraId="59FC30BE" w14:textId="77777777" w:rsidR="00F6182C" w:rsidRPr="00F6182C" w:rsidRDefault="00F6182C" w:rsidP="00C0459B">
      <w:pPr>
        <w:spacing w:line="264" w:lineRule="auto"/>
        <w:jc w:val="center"/>
        <w:rPr>
          <w:sz w:val="28"/>
          <w:szCs w:val="28"/>
        </w:rPr>
      </w:pPr>
    </w:p>
    <w:p w14:paraId="35FE55C8" w14:textId="66911065" w:rsidR="00F6182C" w:rsidRDefault="00BD4119" w:rsidP="00F6182C">
      <w:pPr>
        <w:spacing w:line="264" w:lineRule="auto"/>
        <w:jc w:val="center"/>
        <w:rPr>
          <w:b/>
          <w:sz w:val="28"/>
          <w:szCs w:val="28"/>
        </w:rPr>
      </w:pPr>
      <w:r>
        <w:rPr>
          <w:b/>
          <w:sz w:val="28"/>
          <w:szCs w:val="28"/>
        </w:rPr>
        <w:t>Лабораторні реактиви</w:t>
      </w:r>
    </w:p>
    <w:p w14:paraId="662EEF85" w14:textId="77777777" w:rsidR="00BD4119" w:rsidRPr="00F6182C" w:rsidRDefault="00BD4119" w:rsidP="00F6182C">
      <w:pPr>
        <w:spacing w:line="264" w:lineRule="auto"/>
        <w:jc w:val="center"/>
        <w:rPr>
          <w:b/>
          <w:sz w:val="28"/>
          <w:szCs w:val="28"/>
        </w:rPr>
      </w:pPr>
    </w:p>
    <w:p w14:paraId="3806058F" w14:textId="77777777" w:rsidR="00F6182C" w:rsidRDefault="00F6182C" w:rsidP="00F6182C">
      <w:pPr>
        <w:spacing w:line="264" w:lineRule="auto"/>
        <w:jc w:val="center"/>
        <w:rPr>
          <w:b/>
          <w:sz w:val="28"/>
          <w:szCs w:val="28"/>
        </w:rPr>
      </w:pPr>
      <w:r w:rsidRPr="00F6182C">
        <w:rPr>
          <w:b/>
          <w:sz w:val="28"/>
          <w:szCs w:val="28"/>
        </w:rPr>
        <w:t xml:space="preserve"> код ДК 021:2015 "Єдиний закупівельний словник" — 33690000-3 Лікарські засоби різні  (33696500-0 - Лабораторні реактиви)</w:t>
      </w:r>
    </w:p>
    <w:p w14:paraId="31A7B2AF" w14:textId="77777777" w:rsidR="00BD4119" w:rsidRDefault="00BD4119" w:rsidP="00F6182C">
      <w:pPr>
        <w:spacing w:line="264" w:lineRule="auto"/>
        <w:jc w:val="center"/>
        <w:rPr>
          <w:b/>
          <w:sz w:val="28"/>
          <w:szCs w:val="28"/>
        </w:rPr>
      </w:pPr>
    </w:p>
    <w:p w14:paraId="384DE361" w14:textId="3012EA41" w:rsidR="00356F88" w:rsidRDefault="004B2FD0" w:rsidP="00BD4119">
      <w:pPr>
        <w:spacing w:line="264" w:lineRule="auto"/>
        <w:jc w:val="both"/>
        <w:rPr>
          <w:rFonts w:eastAsia="Andale Sans UI"/>
          <w:kern w:val="1"/>
          <w:sz w:val="28"/>
          <w:szCs w:val="28"/>
        </w:rPr>
      </w:pPr>
      <w:r>
        <w:rPr>
          <w:rFonts w:eastAsia="Andale Sans UI"/>
          <w:kern w:val="1"/>
          <w:sz w:val="28"/>
          <w:szCs w:val="28"/>
        </w:rPr>
        <w:t>к</w:t>
      </w:r>
      <w:r w:rsidR="00761F46">
        <w:rPr>
          <w:rFonts w:eastAsia="Andale Sans UI"/>
          <w:kern w:val="1"/>
          <w:sz w:val="28"/>
          <w:szCs w:val="28"/>
        </w:rPr>
        <w:t xml:space="preserve">од НКМВ 024:2023 – </w:t>
      </w:r>
      <w:r w:rsidR="00BD4119" w:rsidRPr="00BD4119">
        <w:rPr>
          <w:rFonts w:eastAsia="Andale Sans UI"/>
          <w:kern w:val="1"/>
          <w:sz w:val="28"/>
          <w:szCs w:val="28"/>
        </w:rPr>
        <w:t>50409 Множинні мікроорганізми, що передаються статево, нуклеїнова кислота IVD (діагностика in vitro), набір, аналіз нуклеїнових кислот</w:t>
      </w:r>
      <w:r w:rsidR="00BD4119">
        <w:rPr>
          <w:rFonts w:eastAsia="Andale Sans UI"/>
          <w:kern w:val="1"/>
          <w:sz w:val="28"/>
          <w:szCs w:val="28"/>
        </w:rPr>
        <w:t xml:space="preserve">; </w:t>
      </w:r>
      <w:r w:rsidR="00BD4119" w:rsidRPr="00BD4119">
        <w:rPr>
          <w:rFonts w:eastAsia="Andale Sans UI"/>
          <w:kern w:val="1"/>
          <w:sz w:val="28"/>
          <w:szCs w:val="28"/>
        </w:rPr>
        <w:t>47324 Mycoplasma genitalium,</w:t>
      </w:r>
      <w:r w:rsidR="00BD4119">
        <w:rPr>
          <w:rFonts w:eastAsia="Andale Sans UI"/>
          <w:kern w:val="1"/>
          <w:sz w:val="28"/>
          <w:szCs w:val="28"/>
        </w:rPr>
        <w:t xml:space="preserve"> </w:t>
      </w:r>
      <w:r w:rsidR="00BD4119" w:rsidRPr="00BD4119">
        <w:rPr>
          <w:rFonts w:eastAsia="Andale Sans UI"/>
          <w:kern w:val="1"/>
          <w:sz w:val="28"/>
          <w:szCs w:val="28"/>
        </w:rPr>
        <w:t>нуклеїнова кислота IVD</w:t>
      </w:r>
      <w:r w:rsidR="00BD4119">
        <w:rPr>
          <w:rFonts w:eastAsia="Andale Sans UI"/>
          <w:kern w:val="1"/>
          <w:sz w:val="28"/>
          <w:szCs w:val="28"/>
        </w:rPr>
        <w:t xml:space="preserve"> </w:t>
      </w:r>
      <w:r w:rsidR="00BD4119" w:rsidRPr="00BD4119">
        <w:rPr>
          <w:rFonts w:eastAsia="Andale Sans UI"/>
          <w:kern w:val="1"/>
          <w:sz w:val="28"/>
          <w:szCs w:val="28"/>
        </w:rPr>
        <w:t>(діагностика in vitro ),</w:t>
      </w:r>
      <w:r w:rsidR="00BD4119">
        <w:rPr>
          <w:rFonts w:eastAsia="Andale Sans UI"/>
          <w:kern w:val="1"/>
          <w:sz w:val="28"/>
          <w:szCs w:val="28"/>
        </w:rPr>
        <w:t xml:space="preserve"> </w:t>
      </w:r>
      <w:r w:rsidR="00BD4119" w:rsidRPr="00BD4119">
        <w:rPr>
          <w:rFonts w:eastAsia="Andale Sans UI"/>
          <w:kern w:val="1"/>
          <w:sz w:val="28"/>
          <w:szCs w:val="28"/>
        </w:rPr>
        <w:t>набір, аналіз нуклеїнових</w:t>
      </w:r>
      <w:r w:rsidR="00BD4119">
        <w:rPr>
          <w:rFonts w:eastAsia="Andale Sans UI"/>
          <w:kern w:val="1"/>
          <w:sz w:val="28"/>
          <w:szCs w:val="28"/>
        </w:rPr>
        <w:t xml:space="preserve"> </w:t>
      </w:r>
      <w:r w:rsidR="00BD4119" w:rsidRPr="00BD4119">
        <w:rPr>
          <w:rFonts w:eastAsia="Andale Sans UI"/>
          <w:kern w:val="1"/>
          <w:sz w:val="28"/>
          <w:szCs w:val="28"/>
        </w:rPr>
        <w:t>кислот</w:t>
      </w:r>
      <w:r w:rsidR="00BD4119">
        <w:rPr>
          <w:rFonts w:eastAsia="Andale Sans UI"/>
          <w:kern w:val="1"/>
          <w:sz w:val="28"/>
          <w:szCs w:val="28"/>
        </w:rPr>
        <w:t xml:space="preserve">; </w:t>
      </w:r>
      <w:r w:rsidR="00BD4119" w:rsidRPr="00BD4119">
        <w:rPr>
          <w:rFonts w:eastAsia="Andale Sans UI"/>
          <w:kern w:val="1"/>
          <w:sz w:val="28"/>
          <w:szCs w:val="28"/>
        </w:rPr>
        <w:t>47320</w:t>
      </w:r>
      <w:r w:rsidR="00BD4119">
        <w:rPr>
          <w:rFonts w:eastAsia="Andale Sans UI"/>
          <w:kern w:val="1"/>
          <w:sz w:val="28"/>
          <w:szCs w:val="28"/>
        </w:rPr>
        <w:t xml:space="preserve"> </w:t>
      </w:r>
      <w:r w:rsidR="00BD4119" w:rsidRPr="00BD4119">
        <w:rPr>
          <w:rFonts w:eastAsia="Andale Sans UI"/>
          <w:kern w:val="1"/>
          <w:sz w:val="28"/>
          <w:szCs w:val="28"/>
        </w:rPr>
        <w:t>Chlamydia trachomatis, нуклеїнова кислота IVD (діагностика in vitro), набір, аналіз нуклеїнових кислот</w:t>
      </w:r>
      <w:r w:rsidR="00BD4119">
        <w:rPr>
          <w:rFonts w:eastAsia="Andale Sans UI"/>
          <w:kern w:val="1"/>
          <w:sz w:val="28"/>
          <w:szCs w:val="28"/>
        </w:rPr>
        <w:t xml:space="preserve">; </w:t>
      </w:r>
      <w:r w:rsidR="00BD4119" w:rsidRPr="00BD4119">
        <w:rPr>
          <w:rFonts w:eastAsia="Andale Sans UI"/>
          <w:kern w:val="1"/>
          <w:sz w:val="28"/>
          <w:szCs w:val="28"/>
        </w:rPr>
        <w:t>51235 Neisseria gonorrhoeae, нуклеїнові кислоти IVD (діагностика in vitro), набір, аналіз нуклеїнових кислот</w:t>
      </w:r>
      <w:r w:rsidR="00BD4119">
        <w:rPr>
          <w:rFonts w:eastAsia="Andale Sans UI"/>
          <w:kern w:val="1"/>
          <w:sz w:val="28"/>
          <w:szCs w:val="28"/>
        </w:rPr>
        <w:t xml:space="preserve">; </w:t>
      </w:r>
      <w:r w:rsidR="00BD4119" w:rsidRPr="00BD4119">
        <w:rPr>
          <w:rFonts w:eastAsia="Andale Sans UI"/>
          <w:kern w:val="1"/>
          <w:sz w:val="28"/>
          <w:szCs w:val="28"/>
        </w:rPr>
        <w:t>47923 Множинні віруси,</w:t>
      </w:r>
      <w:r w:rsidR="00BD4119">
        <w:rPr>
          <w:rFonts w:eastAsia="Andale Sans UI"/>
          <w:kern w:val="1"/>
          <w:sz w:val="28"/>
          <w:szCs w:val="28"/>
        </w:rPr>
        <w:t xml:space="preserve"> </w:t>
      </w:r>
      <w:r w:rsidR="00BD4119" w:rsidRPr="00BD4119">
        <w:rPr>
          <w:rFonts w:eastAsia="Andale Sans UI"/>
          <w:kern w:val="1"/>
          <w:sz w:val="28"/>
          <w:szCs w:val="28"/>
        </w:rPr>
        <w:t>пов'язані з</w:t>
      </w:r>
      <w:r w:rsidR="00BD4119">
        <w:rPr>
          <w:rFonts w:eastAsia="Andale Sans UI"/>
          <w:kern w:val="1"/>
          <w:sz w:val="28"/>
          <w:szCs w:val="28"/>
        </w:rPr>
        <w:t xml:space="preserve"> </w:t>
      </w:r>
      <w:r w:rsidR="00BD4119" w:rsidRPr="00BD4119">
        <w:rPr>
          <w:rFonts w:eastAsia="Andale Sans UI"/>
          <w:kern w:val="1"/>
          <w:sz w:val="28"/>
          <w:szCs w:val="28"/>
        </w:rPr>
        <w:t>респіраторними</w:t>
      </w:r>
      <w:r w:rsidR="00BD4119">
        <w:rPr>
          <w:rFonts w:eastAsia="Andale Sans UI"/>
          <w:kern w:val="1"/>
          <w:sz w:val="28"/>
          <w:szCs w:val="28"/>
        </w:rPr>
        <w:t xml:space="preserve"> </w:t>
      </w:r>
      <w:r w:rsidR="00BD4119" w:rsidRPr="00BD4119">
        <w:rPr>
          <w:rFonts w:eastAsia="Andale Sans UI"/>
          <w:kern w:val="1"/>
          <w:sz w:val="28"/>
          <w:szCs w:val="28"/>
        </w:rPr>
        <w:t>захворюваннями,</w:t>
      </w:r>
      <w:r w:rsidR="00BD4119">
        <w:rPr>
          <w:rFonts w:eastAsia="Andale Sans UI"/>
          <w:kern w:val="1"/>
          <w:sz w:val="28"/>
          <w:szCs w:val="28"/>
        </w:rPr>
        <w:t xml:space="preserve"> </w:t>
      </w:r>
      <w:r w:rsidR="00BD4119" w:rsidRPr="00BD4119">
        <w:rPr>
          <w:rFonts w:eastAsia="Andale Sans UI"/>
          <w:kern w:val="1"/>
          <w:sz w:val="28"/>
          <w:szCs w:val="28"/>
        </w:rPr>
        <w:t>нуклеїнові кислоти IVD</w:t>
      </w:r>
      <w:r w:rsidR="00BD4119">
        <w:rPr>
          <w:rFonts w:eastAsia="Andale Sans UI"/>
          <w:kern w:val="1"/>
          <w:sz w:val="28"/>
          <w:szCs w:val="28"/>
        </w:rPr>
        <w:t xml:space="preserve"> </w:t>
      </w:r>
      <w:r w:rsidR="00BD4119" w:rsidRPr="00BD4119">
        <w:rPr>
          <w:rFonts w:eastAsia="Andale Sans UI"/>
          <w:kern w:val="1"/>
          <w:sz w:val="28"/>
          <w:szCs w:val="28"/>
        </w:rPr>
        <w:t>(діагностика in vitro ),</w:t>
      </w:r>
      <w:r w:rsidR="00BD4119">
        <w:rPr>
          <w:rFonts w:eastAsia="Andale Sans UI"/>
          <w:kern w:val="1"/>
          <w:sz w:val="28"/>
          <w:szCs w:val="28"/>
        </w:rPr>
        <w:t xml:space="preserve"> </w:t>
      </w:r>
      <w:r w:rsidR="00BD4119" w:rsidRPr="00BD4119">
        <w:rPr>
          <w:rFonts w:eastAsia="Andale Sans UI"/>
          <w:kern w:val="1"/>
          <w:sz w:val="28"/>
          <w:szCs w:val="28"/>
        </w:rPr>
        <w:t>реагент</w:t>
      </w:r>
      <w:r w:rsidR="00BD4119">
        <w:rPr>
          <w:rFonts w:eastAsia="Andale Sans UI"/>
          <w:kern w:val="1"/>
          <w:sz w:val="28"/>
          <w:szCs w:val="28"/>
        </w:rPr>
        <w:t xml:space="preserve"> </w:t>
      </w:r>
      <w:r w:rsidR="00BD4119" w:rsidRPr="00BD4119">
        <w:rPr>
          <w:rFonts w:eastAsia="Andale Sans UI"/>
          <w:kern w:val="1"/>
          <w:sz w:val="28"/>
          <w:szCs w:val="28"/>
        </w:rPr>
        <w:t>52475 Трихомонада вагінальна, нуклеїнові кислоти IVD (діагностика in vitro), набір, аналіз нуклеїнових кислот</w:t>
      </w:r>
      <w:r w:rsidR="00BD4119">
        <w:rPr>
          <w:rFonts w:eastAsia="Andale Sans UI"/>
          <w:kern w:val="1"/>
          <w:sz w:val="28"/>
          <w:szCs w:val="28"/>
        </w:rPr>
        <w:t xml:space="preserve">; </w:t>
      </w:r>
      <w:r w:rsidR="00BD4119" w:rsidRPr="00BD4119">
        <w:rPr>
          <w:rFonts w:eastAsia="Andale Sans UI"/>
          <w:kern w:val="1"/>
          <w:sz w:val="28"/>
          <w:szCs w:val="28"/>
        </w:rPr>
        <w:t>49994 Папіломавірус людини (HPV) нуклеїнова кислота IVD, набір, аналіз нуклеїнових кислот</w:t>
      </w:r>
    </w:p>
    <w:p w14:paraId="73713B48" w14:textId="77777777" w:rsidR="00F6182C" w:rsidRDefault="00F6182C" w:rsidP="00F6182C">
      <w:pPr>
        <w:spacing w:line="264" w:lineRule="auto"/>
        <w:jc w:val="both"/>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15655D1C" w14:textId="60CBC885" w:rsidR="00F6182C" w:rsidRPr="00F6182C" w:rsidRDefault="00BD4119" w:rsidP="005E5E85">
            <w:pPr>
              <w:tabs>
                <w:tab w:val="left" w:pos="1652"/>
              </w:tabs>
              <w:spacing w:after="160" w:line="259" w:lineRule="auto"/>
              <w:rPr>
                <w:rFonts w:eastAsia="Calibri"/>
                <w:lang w:eastAsia="en-US"/>
              </w:rPr>
            </w:pPr>
            <w:r>
              <w:rPr>
                <w:rFonts w:eastAsia="Calibri"/>
                <w:lang w:eastAsia="en-US"/>
              </w:rPr>
              <w:t>Лабораторні реактиви</w:t>
            </w:r>
          </w:p>
          <w:p w14:paraId="77636987" w14:textId="50000528" w:rsidR="00F6182C" w:rsidRPr="00F6182C" w:rsidRDefault="00F6182C" w:rsidP="005E5E85">
            <w:pPr>
              <w:tabs>
                <w:tab w:val="left" w:pos="1652"/>
              </w:tabs>
              <w:spacing w:after="160" w:line="259" w:lineRule="auto"/>
              <w:rPr>
                <w:rFonts w:eastAsia="Calibri"/>
                <w:lang w:eastAsia="en-US"/>
              </w:rPr>
            </w:pPr>
            <w:r w:rsidRPr="00F6182C">
              <w:rPr>
                <w:rFonts w:eastAsia="Calibri"/>
                <w:lang w:eastAsia="en-US"/>
              </w:rPr>
              <w:t>код ДК 021:2015 "Єдиний закупівельний словник" — 33690000-3 Лікарські засоби різні  (33696500-0 - Лабораторні реактиви)</w:t>
            </w:r>
          </w:p>
          <w:p w14:paraId="68958575" w14:textId="7400EF1A" w:rsidR="0011102A" w:rsidRPr="00E55D20" w:rsidRDefault="00F6182C" w:rsidP="00BD4119">
            <w:pPr>
              <w:tabs>
                <w:tab w:val="left" w:pos="1652"/>
              </w:tabs>
              <w:spacing w:after="160" w:line="259" w:lineRule="auto"/>
              <w:jc w:val="both"/>
              <w:rPr>
                <w:rFonts w:eastAsia="Calibri"/>
                <w:lang w:eastAsia="en-US"/>
              </w:rPr>
            </w:pPr>
            <w:r w:rsidRPr="00F6182C">
              <w:rPr>
                <w:rFonts w:eastAsia="Calibri"/>
                <w:lang w:eastAsia="en-US"/>
              </w:rPr>
              <w:t xml:space="preserve">код НКМВ 024:2023 </w:t>
            </w:r>
            <w:r w:rsidR="00BD4119">
              <w:rPr>
                <w:rFonts w:eastAsia="Calibri"/>
                <w:lang w:eastAsia="en-US"/>
              </w:rPr>
              <w:t xml:space="preserve">- </w:t>
            </w:r>
            <w:r w:rsidR="00BD4119" w:rsidRPr="00BD4119">
              <w:rPr>
                <w:rFonts w:eastAsia="Calibri"/>
                <w:lang w:eastAsia="en-US"/>
              </w:rPr>
              <w:t>50409 Множинні мікроорганізми, що передаються статево, нуклеїнова кислота IVD (діагностика in vitro), набір, аналіз нуклеїнових кислот; 47324 Mycoplasma genitalium, нуклеїнова кислота IVD (діагностика in vitro ), набір, аналіз нуклеїнових кислот; 47320 Chlamydia trachomatis, нуклеїнова кислота IVD (діагностика in vitro), набір, аналіз нуклеїнових кислот; 51235 Neisseria gonorrhoeae, нуклеїнові кислоти IVD (діагностика in vitro), набір, аналіз нуклеїнових кислот; 47923 Множинні віруси, пов'язані з респіраторними захворюваннями, нуклеїнові кислоти IVD (діагностика in vitro ), реагент 52475 Трихомонада вагінальна, нуклеїнові кислоти IVD (діагностика in vitro), набір, аналіз нуклеїнових кислот; 49994 Папіломавірус людини (HPV) нуклеїнова кислота IVD, набір, аналіз нуклеїнових кислот</w:t>
            </w:r>
            <w:r w:rsidR="00BD4119">
              <w:rPr>
                <w:rFonts w:eastAsia="Calibri"/>
                <w:lang w:eastAsia="en-US"/>
              </w:rPr>
              <w:t>.</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lastRenderedPageBreak/>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w:t>
            </w:r>
            <w:r w:rsidR="000209E8" w:rsidRPr="000209E8">
              <w:rPr>
                <w:rFonts w:ascii="Times New Roman" w:hAnsi="Times New Roman"/>
                <w:sz w:val="24"/>
                <w:lang w:eastAsia="ru-RU"/>
              </w:rPr>
              <w:lastRenderedPageBreak/>
              <w:t>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322954">
              <w:rPr>
                <w:color w:val="000000"/>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 xml:space="preserve">і, присвоєного електронною системою закупівель та/або </w:t>
            </w:r>
            <w:r>
              <w:rPr>
                <w:color w:val="000000"/>
              </w:rPr>
              <w:lastRenderedPageBreak/>
              <w:t>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 xml:space="preserve">10. Подання документа (документів) учасником процедури </w:t>
            </w:r>
            <w:r>
              <w:rPr>
                <w:color w:val="000000"/>
              </w:rPr>
              <w:lastRenderedPageBreak/>
              <w:t>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w:t>
            </w:r>
            <w:r w:rsidR="00E07BCE">
              <w:rPr>
                <w:color w:val="000000"/>
                <w:shd w:val="solid" w:color="FFFFFF" w:fill="FFFFFF"/>
              </w:rPr>
              <w:lastRenderedPageBreak/>
              <w:t>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0A6F84" w:rsidRPr="00611CDA">
              <w:rPr>
                <w:color w:val="000000"/>
                <w:shd w:val="solid" w:color="FFFFFF" w:fill="FFFFFF"/>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A11F9A" w:rsidRPr="00A11F9A">
              <w:rPr>
                <w:color w:val="000000"/>
                <w:shd w:val="solid" w:color="FFFFFF" w:fill="FFFFFF"/>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w:t>
            </w:r>
            <w:r w:rsidR="0086338D" w:rsidRPr="00870B36">
              <w:lastRenderedPageBreak/>
              <w:t>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 xml:space="preserve">Інформація про субпідрядника / </w:t>
            </w:r>
            <w:r w:rsidRPr="009A46AB">
              <w:rPr>
                <w:b/>
                <w:color w:val="000000"/>
              </w:rPr>
              <w:lastRenderedPageBreak/>
              <w:t>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lastRenderedPageBreak/>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lastRenderedPageBreak/>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6E8DE2F7"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BD4119">
              <w:rPr>
                <w:b/>
                <w:lang w:val="ru-RU"/>
              </w:rPr>
              <w:t>2</w:t>
            </w:r>
            <w:r w:rsidR="001E694A">
              <w:rPr>
                <w:b/>
                <w:lang w:val="ru-RU"/>
              </w:rPr>
              <w:t>2</w:t>
            </w:r>
            <w:bookmarkStart w:id="7" w:name="_GoBack"/>
            <w:bookmarkEnd w:id="7"/>
            <w:r w:rsidR="0086338D" w:rsidRPr="0083421E">
              <w:rPr>
                <w:b/>
                <w:lang w:val="ru-RU"/>
              </w:rPr>
              <w:t xml:space="preserve">» </w:t>
            </w:r>
            <w:r w:rsidR="004B2FD0">
              <w:rPr>
                <w:b/>
                <w:lang w:val="ru-RU"/>
              </w:rPr>
              <w:t>березня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 xml:space="preserve">4.2.5. Замовник та учасники не можуть ініціювати будь-які </w:t>
            </w:r>
            <w:r w:rsidRPr="00B75EDC">
              <w:lastRenderedPageBreak/>
              <w:t>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w:t>
            </w:r>
            <w:r w:rsidR="007F70BD" w:rsidRPr="00383981">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00336453" w:rsidRPr="00383981">
              <w:rPr>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w:t>
            </w:r>
            <w:r w:rsidRPr="001A0D47">
              <w:rPr>
                <w:color w:val="000000"/>
              </w:rPr>
              <w:lastRenderedPageBreak/>
              <w:t xml:space="preserve">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lastRenderedPageBreak/>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 xml:space="preserve">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w:t>
            </w:r>
            <w:r w:rsidRPr="00E308F6">
              <w:rPr>
                <w:color w:val="000000"/>
              </w:rPr>
              <w:lastRenderedPageBreak/>
              <w:t>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w:t>
            </w:r>
            <w:r w:rsidR="0086338D">
              <w:rPr>
                <w:color w:val="000000"/>
              </w:rPr>
              <w:lastRenderedPageBreak/>
              <w:t>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 xml:space="preserve">1) зменшення обсягів закупівлі, зокрема з урахуванням </w:t>
            </w:r>
            <w:r w:rsidRPr="00623912">
              <w:rPr>
                <w:color w:val="000000"/>
                <w:lang w:eastAsia="en-US"/>
              </w:rPr>
              <w:lastRenderedPageBreak/>
              <w:t>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 xml:space="preserve">і від підписання договір про </w:t>
            </w:r>
            <w:r w:rsidRPr="002B1DE4">
              <w:rPr>
                <w:b/>
                <w:color w:val="000000"/>
              </w:rPr>
              <w:lastRenderedPageBreak/>
              <w:t>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2B1DE4">
              <w:rPr>
                <w:color w:val="000000"/>
                <w:lang w:val="uk-UA"/>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74980" w14:textId="77777777" w:rsidR="0036624E" w:rsidRDefault="0036624E" w:rsidP="00207BBB">
      <w:pPr>
        <w:pStyle w:val="CharChar"/>
      </w:pPr>
      <w:r>
        <w:separator/>
      </w:r>
    </w:p>
  </w:endnote>
  <w:endnote w:type="continuationSeparator" w:id="0">
    <w:p w14:paraId="4CEC183F" w14:textId="77777777" w:rsidR="0036624E" w:rsidRDefault="0036624E"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1E694A">
      <w:rPr>
        <w:rStyle w:val="a3"/>
        <w:noProof/>
      </w:rPr>
      <w:t>17</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0EFF" w14:textId="77777777" w:rsidR="0036624E" w:rsidRDefault="0036624E" w:rsidP="00207BBB">
      <w:pPr>
        <w:pStyle w:val="CharChar"/>
      </w:pPr>
      <w:r>
        <w:separator/>
      </w:r>
    </w:p>
  </w:footnote>
  <w:footnote w:type="continuationSeparator" w:id="0">
    <w:p w14:paraId="63DB2831" w14:textId="77777777" w:rsidR="0036624E" w:rsidRDefault="0036624E"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94A"/>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18B8"/>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24E"/>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5E85"/>
    <w:rsid w:val="005E7F90"/>
    <w:rsid w:val="005E7FD4"/>
    <w:rsid w:val="005F0146"/>
    <w:rsid w:val="005F09A7"/>
    <w:rsid w:val="005F1EAA"/>
    <w:rsid w:val="005F20A6"/>
    <w:rsid w:val="005F3408"/>
    <w:rsid w:val="005F443D"/>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760"/>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DC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4119"/>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5ED0"/>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56C"/>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182C"/>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5D45-3A21-4E11-8BEB-CB3998FE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26</Pages>
  <Words>41157</Words>
  <Characters>23460</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257</cp:revision>
  <cp:lastPrinted>2023-03-06T16:53:00Z</cp:lastPrinted>
  <dcterms:created xsi:type="dcterms:W3CDTF">2022-10-20T10:48:00Z</dcterms:created>
  <dcterms:modified xsi:type="dcterms:W3CDTF">2024-03-14T14:39:00Z</dcterms:modified>
</cp:coreProperties>
</file>