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1EC47CA3"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4E47D4" w:rsidRPr="008F40A2">
        <w:rPr>
          <w:b/>
          <w:lang w:val="uk-UA"/>
        </w:rPr>
        <w:t xml:space="preserve">Послуги </w:t>
      </w:r>
      <w:r w:rsidR="00512BA7">
        <w:rPr>
          <w:b/>
          <w:shd w:val="clear" w:color="auto" w:fill="FFFFFF"/>
          <w:lang w:val="uk-UA"/>
        </w:rPr>
        <w:t>по</w:t>
      </w:r>
      <w:r w:rsidR="008F40A2" w:rsidRPr="008F40A2">
        <w:rPr>
          <w:b/>
          <w:shd w:val="clear" w:color="auto" w:fill="FFFFFF"/>
          <w:lang w:val="uk-UA"/>
        </w:rPr>
        <w:t xml:space="preserve"> </w:t>
      </w:r>
      <w:r w:rsidR="00927223">
        <w:rPr>
          <w:b/>
          <w:lang w:val="uk-UA"/>
        </w:rPr>
        <w:t>експлуатаційно</w:t>
      </w:r>
      <w:r w:rsidR="00512BA7">
        <w:rPr>
          <w:b/>
          <w:lang w:val="uk-UA"/>
        </w:rPr>
        <w:t>му</w:t>
      </w:r>
      <w:r w:rsidR="00927223">
        <w:rPr>
          <w:b/>
          <w:lang w:val="uk-UA"/>
        </w:rPr>
        <w:t xml:space="preserve"> утриманн</w:t>
      </w:r>
      <w:r w:rsidR="00512BA7">
        <w:rPr>
          <w:b/>
          <w:lang w:val="uk-UA"/>
        </w:rPr>
        <w:t>ю</w:t>
      </w:r>
      <w:r w:rsidR="008F40A2" w:rsidRPr="001D13F7">
        <w:rPr>
          <w:b/>
          <w:lang w:val="uk-UA"/>
        </w:rPr>
        <w:t xml:space="preserve"> вулиць і доріг комунальної власності по </w:t>
      </w:r>
      <w:r w:rsidR="004B17EF">
        <w:rPr>
          <w:b/>
          <w:lang w:val="uk-UA"/>
        </w:rPr>
        <w:t xml:space="preserve">вул. </w:t>
      </w:r>
      <w:proofErr w:type="spellStart"/>
      <w:r w:rsidR="008C65BD">
        <w:rPr>
          <w:b/>
          <w:lang w:val="uk-UA"/>
        </w:rPr>
        <w:t>Святомиколаї</w:t>
      </w:r>
      <w:r w:rsidR="00296BBD">
        <w:rPr>
          <w:b/>
          <w:lang w:val="uk-UA"/>
        </w:rPr>
        <w:t>вська</w:t>
      </w:r>
      <w:proofErr w:type="spellEnd"/>
      <w:r w:rsidR="004B17EF">
        <w:rPr>
          <w:b/>
          <w:lang w:val="uk-UA"/>
        </w:rPr>
        <w:t xml:space="preserve"> в м. Шостка</w:t>
      </w:r>
      <w:r w:rsidR="00512BA7">
        <w:rPr>
          <w:b/>
          <w:lang w:val="uk-UA"/>
        </w:rPr>
        <w:t xml:space="preserve"> Сумської області</w:t>
      </w:r>
      <w:r w:rsidR="00A14148" w:rsidRPr="00927223">
        <w:rPr>
          <w:b/>
          <w:lang w:val="uk-UA"/>
        </w:rPr>
        <w:t xml:space="preserve"> </w:t>
      </w:r>
      <w:r w:rsidR="00A14148" w:rsidRPr="00927223">
        <w:rPr>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0137DF">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53C3" w14:textId="77777777" w:rsidR="000137DF" w:rsidRDefault="000137DF">
      <w:r>
        <w:separator/>
      </w:r>
    </w:p>
  </w:endnote>
  <w:endnote w:type="continuationSeparator" w:id="0">
    <w:p w14:paraId="30D1F834" w14:textId="77777777" w:rsidR="000137DF" w:rsidRDefault="0001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5076" w14:textId="77777777" w:rsidR="000137DF" w:rsidRDefault="000137DF">
      <w:r>
        <w:separator/>
      </w:r>
    </w:p>
  </w:footnote>
  <w:footnote w:type="continuationSeparator" w:id="0">
    <w:p w14:paraId="3C261AE3" w14:textId="77777777" w:rsidR="000137DF" w:rsidRDefault="0001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7DF"/>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2BA7"/>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5BD"/>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4C94"/>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2450</Words>
  <Characters>1398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3</cp:revision>
  <cp:lastPrinted>2024-02-19T12:10:00Z</cp:lastPrinted>
  <dcterms:created xsi:type="dcterms:W3CDTF">2024-03-26T11:21:00Z</dcterms:created>
  <dcterms:modified xsi:type="dcterms:W3CDTF">2024-03-27T07:53:00Z</dcterms:modified>
</cp:coreProperties>
</file>