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A3AA" w14:textId="211FB864" w:rsidR="0023694A" w:rsidRDefault="00000000" w:rsidP="00522B9A">
      <w:pPr>
        <w:spacing w:after="0" w:line="240" w:lineRule="auto"/>
        <w:ind w:left="1440"/>
        <w:rPr>
          <w:rFonts w:ascii="Times New Roman" w:eastAsia="Times New Roman" w:hAnsi="Times New Roman" w:cs="Times New Roman"/>
          <w:i/>
          <w:color w:val="4A86E8"/>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14:paraId="7FBDB6C6" w14:textId="77777777" w:rsidR="0023694A" w:rsidRDefault="0023694A">
      <w:pPr>
        <w:spacing w:after="0" w:line="240" w:lineRule="auto"/>
        <w:rPr>
          <w:rFonts w:ascii="Times New Roman" w:eastAsia="Times New Roman" w:hAnsi="Times New Roman" w:cs="Times New Roman"/>
          <w:b/>
          <w:sz w:val="20"/>
          <w:szCs w:val="20"/>
        </w:rPr>
      </w:pPr>
    </w:p>
    <w:p w14:paraId="2C19D526"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7612D929" w14:textId="77777777" w:rsidR="0023694A" w:rsidRDefault="0000000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4C21E93D" w14:textId="77777777" w:rsidR="0023694A" w:rsidRDefault="0000000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BFDA000" w14:textId="77777777" w:rsidR="0023694A" w:rsidRDefault="00000000">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bookmarkStart w:id="0" w:name="_Hlk151475277"/>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BF00DD8" w14:textId="77777777" w:rsidR="0023694A" w:rsidRDefault="0023694A">
      <w:pPr>
        <w:spacing w:after="0" w:line="240" w:lineRule="auto"/>
        <w:ind w:left="885"/>
        <w:jc w:val="center"/>
        <w:rPr>
          <w:rFonts w:ascii="Times New Roman" w:eastAsia="Times New Roman" w:hAnsi="Times New Roman" w:cs="Times New Roman"/>
          <w:b/>
          <w:i/>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D3509C" w14:paraId="1A70CA79" w14:textId="77777777" w:rsidTr="00991D8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0BA752"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EAC3D"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6385" w14:textId="77777777" w:rsidR="00D3509C" w:rsidRDefault="00D3509C" w:rsidP="00991D8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62876">
              <w:rPr>
                <w:rFonts w:ascii="Times New Roman" w:eastAsia="Times New Roman" w:hAnsi="Times New Roman" w:cs="Times New Roman"/>
                <w:b/>
                <w:sz w:val="20"/>
                <w:szCs w:val="20"/>
              </w:rPr>
              <w:t>та інформація, </w:t>
            </w:r>
            <w:r>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AC6F4C" w14:paraId="33903D44" w14:textId="77777777" w:rsidTr="00991D8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43FD2" w14:textId="47A59BE4" w:rsidR="00AC6F4C" w:rsidRPr="00522B9A" w:rsidRDefault="00AC6F4C" w:rsidP="00AC6F4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16083" w14:textId="1DE148F6" w:rsidR="00AC6F4C" w:rsidRDefault="00AC6F4C" w:rsidP="00AC6F4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C4C98" w14:textId="77777777" w:rsidR="00AC6F4C" w:rsidRPr="000C1C65" w:rsidRDefault="00AC6F4C" w:rsidP="00AC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4548DE">
              <w:rPr>
                <w:rFonts w:ascii="Times New Roman" w:eastAsia="Times New Roman" w:hAnsi="Times New Roman" w:cs="Times New Roman"/>
                <w:color w:val="000000"/>
                <w:sz w:val="20"/>
                <w:szCs w:val="20"/>
              </w:rPr>
              <w:t xml:space="preserve">.1. </w:t>
            </w:r>
            <w:r w:rsidRPr="000C1C65">
              <w:rPr>
                <w:rFonts w:ascii="Times New Roman" w:eastAsia="Times New Roman" w:hAnsi="Times New Roman" w:cs="Times New Roman"/>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3F13412E" w14:textId="77777777" w:rsidR="00AC6F4C" w:rsidRPr="000C1C65" w:rsidRDefault="00AC6F4C" w:rsidP="00AC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0C1C65">
              <w:rPr>
                <w:rFonts w:ascii="Times New Roman" w:eastAsia="Times New Roman" w:hAnsi="Times New Roman" w:cs="Times New Roman"/>
                <w:sz w:val="20"/>
                <w:szCs w:val="20"/>
              </w:rPr>
              <w:t xml:space="preserve">.1.1. довідку в довільній формі, з інформацією про виконання  аналогічного (аналогічних) за предметом закупівлі договору (договорів)  (не менше </w:t>
            </w:r>
            <w:r>
              <w:rPr>
                <w:rFonts w:ascii="Times New Roman" w:eastAsia="Times New Roman" w:hAnsi="Times New Roman" w:cs="Times New Roman"/>
                <w:sz w:val="20"/>
                <w:szCs w:val="20"/>
                <w:lang w:val="uk-UA"/>
              </w:rPr>
              <w:t>трьох</w:t>
            </w:r>
            <w:r w:rsidRPr="000C1C65">
              <w:rPr>
                <w:rFonts w:ascii="Times New Roman" w:eastAsia="Times New Roman" w:hAnsi="Times New Roman" w:cs="Times New Roman"/>
                <w:sz w:val="20"/>
                <w:szCs w:val="20"/>
              </w:rPr>
              <w:t xml:space="preserve"> договору).</w:t>
            </w:r>
          </w:p>
          <w:p w14:paraId="60B85302" w14:textId="77777777" w:rsidR="00AC6F4C" w:rsidRPr="000C1C65" w:rsidRDefault="00AC6F4C" w:rsidP="00AC6F4C">
            <w:pPr>
              <w:spacing w:after="0" w:line="240" w:lineRule="auto"/>
              <w:jc w:val="both"/>
              <w:rPr>
                <w:rFonts w:ascii="Times New Roman" w:eastAsia="Times New Roman" w:hAnsi="Times New Roman" w:cs="Times New Roman"/>
                <w:sz w:val="20"/>
                <w:szCs w:val="20"/>
                <w:lang w:val="uk-UA"/>
              </w:rPr>
            </w:pPr>
            <w:r w:rsidRPr="000C1C65">
              <w:rPr>
                <w:rFonts w:ascii="Times New Roman" w:eastAsia="Times New Roman" w:hAnsi="Times New Roman" w:cs="Times New Roman"/>
                <w:b/>
                <w:i/>
                <w:sz w:val="20"/>
                <w:szCs w:val="20"/>
              </w:rPr>
              <w:t xml:space="preserve">Аналогічним вважається договір </w:t>
            </w:r>
            <w:r w:rsidRPr="000C1C65">
              <w:rPr>
                <w:rFonts w:ascii="Times New Roman" w:eastAsia="Times New Roman" w:hAnsi="Times New Roman" w:cs="Times New Roman"/>
                <w:b/>
                <w:i/>
                <w:sz w:val="20"/>
                <w:szCs w:val="20"/>
                <w:lang w:val="uk-UA"/>
              </w:rPr>
              <w:t>аналогічний за предметом закупівлі та/або кодом ДК.</w:t>
            </w:r>
          </w:p>
          <w:p w14:paraId="1A5550A4" w14:textId="77777777" w:rsidR="00AC6F4C" w:rsidRPr="000C1C65" w:rsidRDefault="00AC6F4C" w:rsidP="00AC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0C1C65">
              <w:rPr>
                <w:rFonts w:ascii="Times New Roman" w:eastAsia="Times New Roman" w:hAnsi="Times New Roman" w:cs="Times New Roman"/>
                <w:sz w:val="20"/>
                <w:szCs w:val="20"/>
              </w:rPr>
              <w:t>.1.2. не менше 1 копії договору, зазначеного в довідці в повному обсязі,</w:t>
            </w:r>
          </w:p>
          <w:p w14:paraId="5603600B" w14:textId="77777777" w:rsidR="00AC6F4C" w:rsidRPr="000C1C65" w:rsidRDefault="00AC6F4C" w:rsidP="00AC6F4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454C82D" w14:textId="5A88763D" w:rsidR="00AC6F4C" w:rsidRPr="00522B9A" w:rsidRDefault="00AC6F4C" w:rsidP="00AC6F4C">
            <w:pPr>
              <w:spacing w:after="0" w:line="240" w:lineRule="auto"/>
              <w:jc w:val="both"/>
              <w:rPr>
                <w:rFonts w:ascii="Times New Roman" w:eastAsia="Times New Roman" w:hAnsi="Times New Roman" w:cs="Times New Roman"/>
                <w:sz w:val="20"/>
                <w:szCs w:val="20"/>
              </w:rPr>
            </w:pPr>
            <w:r w:rsidRPr="000C1C65">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r w:rsidR="00AC6F4C" w14:paraId="0FCCBC30" w14:textId="77777777" w:rsidTr="00AC6F4C">
        <w:trPr>
          <w:trHeight w:val="2255"/>
          <w:jc w:val="center"/>
        </w:trPr>
        <w:tc>
          <w:tcPr>
            <w:tcW w:w="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2720D" w14:textId="402CDFBF" w:rsidR="00AC6F4C" w:rsidRDefault="00AC6F4C" w:rsidP="00AC6F4C">
            <w:pPr>
              <w:spacing w:after="0" w:line="240" w:lineRule="auto"/>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29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E16DE" w14:textId="14907735" w:rsidR="00AC6F4C" w:rsidRDefault="00AC6F4C" w:rsidP="00AC6F4C">
            <w:pPr>
              <w:spacing w:after="0" w:line="240" w:lineRule="auto"/>
              <w:rPr>
                <w:rFonts w:ascii="Times New Roman" w:eastAsia="Times New Roman" w:hAnsi="Times New Roman" w:cs="Times New Roman"/>
                <w:b/>
                <w:color w:val="000000"/>
                <w:sz w:val="20"/>
                <w:szCs w:val="20"/>
              </w:rPr>
            </w:pPr>
            <w:r w:rsidRPr="00EC67D5">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2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C01AB1" w14:textId="0539F769" w:rsidR="00AC6F4C" w:rsidRPr="00522B9A" w:rsidRDefault="00AC6F4C" w:rsidP="00AC6F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 xml:space="preserve">2.1. </w:t>
            </w:r>
            <w:r w:rsidRPr="00EC67D5">
              <w:rPr>
                <w:rFonts w:ascii="Times New Roman" w:eastAsia="Times New Roman" w:hAnsi="Times New Roman" w:cs="Times New Roman"/>
                <w:color w:val="000000"/>
                <w:sz w:val="20"/>
                <w:szCs w:val="20"/>
              </w:rPr>
              <w:t>Лист в довільній формі, з власноручним  підписом уповноваженої особи Учасника та завірений мокрою  печаткою (за наявності), в якому зазначається інформація про наявність (відсутність) працівників відповідної кваліфікації, які мають необхідні знання та досвід.</w:t>
            </w:r>
          </w:p>
        </w:tc>
      </w:tr>
    </w:tbl>
    <w:p w14:paraId="234FFC40" w14:textId="23016EFD" w:rsidR="0023694A" w:rsidRDefault="00B34646" w:rsidP="00B34646">
      <w:pPr>
        <w:spacing w:after="0" w:line="240" w:lineRule="auto"/>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4A86E8"/>
          <w:sz w:val="20"/>
          <w:szCs w:val="20"/>
          <w:lang w:val="uk-UA"/>
        </w:rPr>
        <w:t>.</w:t>
      </w:r>
    </w:p>
    <w:bookmarkEnd w:id="0"/>
    <w:p w14:paraId="69D2A7E3" w14:textId="77777777" w:rsidR="00B34646" w:rsidRPr="00B34646" w:rsidRDefault="00B34646" w:rsidP="00B34646">
      <w:pPr>
        <w:spacing w:after="0" w:line="240" w:lineRule="auto"/>
        <w:rPr>
          <w:rFonts w:ascii="Times New Roman" w:eastAsia="Times New Roman" w:hAnsi="Times New Roman" w:cs="Times New Roman"/>
          <w:color w:val="4A86E8"/>
          <w:sz w:val="20"/>
          <w:szCs w:val="20"/>
          <w:lang w:val="uk-UA"/>
        </w:rPr>
      </w:pPr>
    </w:p>
    <w:p w14:paraId="246AD7AC" w14:textId="77777777" w:rsidR="0023694A" w:rsidRDefault="0023694A">
      <w:pPr>
        <w:spacing w:before="20" w:after="20" w:line="240" w:lineRule="auto"/>
        <w:jc w:val="both"/>
        <w:rPr>
          <w:rFonts w:ascii="Times New Roman" w:eastAsia="Times New Roman" w:hAnsi="Times New Roman" w:cs="Times New Roman"/>
          <w:b/>
          <w:sz w:val="20"/>
          <w:szCs w:val="20"/>
        </w:rPr>
      </w:pPr>
    </w:p>
    <w:p w14:paraId="31E0B974" w14:textId="77777777" w:rsidR="0023694A" w:rsidRDefault="00000000">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1537540F"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A090C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8DEE727" w14:textId="77777777" w:rsidR="0023694A" w:rsidRDefault="0000000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A569A3B"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67CC2E"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закупівель відсутня </w:t>
      </w:r>
      <w:r w:rsidRPr="00522B9A">
        <w:rPr>
          <w:rFonts w:ascii="Times New Roman" w:eastAsia="Times New Roman" w:hAnsi="Times New Roman" w:cs="Times New Roman"/>
          <w:i/>
          <w:sz w:val="20"/>
          <w:szCs w:val="20"/>
        </w:rPr>
        <w:lastRenderedPageBreak/>
        <w:t>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410FF91"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2B9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22B9A">
        <w:rPr>
          <w:rFonts w:ascii="Times New Roman" w:eastAsia="Times New Roman" w:hAnsi="Times New Roman" w:cs="Times New Roman"/>
          <w:sz w:val="20"/>
          <w:szCs w:val="20"/>
        </w:rPr>
        <w:t>, замовник перевіряє таких суб’єктів господарювання щодо відсутності</w:t>
      </w:r>
      <w:r w:rsidRPr="00522B9A">
        <w:rPr>
          <w:rFonts w:ascii="Times New Roman" w:eastAsia="Times New Roman" w:hAnsi="Times New Roman" w:cs="Times New Roman"/>
          <w:sz w:val="28"/>
          <w:szCs w:val="28"/>
        </w:rPr>
        <w:t xml:space="preserve"> </w:t>
      </w:r>
      <w:r w:rsidRPr="00522B9A">
        <w:rPr>
          <w:rFonts w:ascii="Times New Roman" w:eastAsia="Times New Roman" w:hAnsi="Times New Roman" w:cs="Times New Roman"/>
          <w:sz w:val="20"/>
          <w:szCs w:val="20"/>
        </w:rPr>
        <w:t>підстав, визначених пунктом 47 Особливостей.</w:t>
      </w:r>
    </w:p>
    <w:p w14:paraId="6B292501" w14:textId="77777777" w:rsidR="0023694A" w:rsidRDefault="0023694A">
      <w:pPr>
        <w:spacing w:after="80"/>
        <w:jc w:val="both"/>
        <w:rPr>
          <w:rFonts w:ascii="Times New Roman" w:eastAsia="Times New Roman" w:hAnsi="Times New Roman" w:cs="Times New Roman"/>
          <w:color w:val="00B050"/>
          <w:sz w:val="20"/>
          <w:szCs w:val="20"/>
          <w:highlight w:val="yellow"/>
        </w:rPr>
      </w:pPr>
    </w:p>
    <w:p w14:paraId="247D949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00B96C9A" w14:textId="77777777" w:rsidR="0023694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87EEF7" w14:textId="77777777" w:rsidR="0023694A" w:rsidRPr="00522B9A"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22B9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E75B36" w14:textId="77777777" w:rsidR="0023694A" w:rsidRDefault="0023694A">
      <w:pPr>
        <w:spacing w:after="0" w:line="240" w:lineRule="auto"/>
        <w:rPr>
          <w:rFonts w:ascii="Times New Roman" w:eastAsia="Times New Roman" w:hAnsi="Times New Roman" w:cs="Times New Roman"/>
          <w:b/>
          <w:sz w:val="20"/>
          <w:szCs w:val="20"/>
          <w:highlight w:val="white"/>
        </w:rPr>
      </w:pPr>
    </w:p>
    <w:p w14:paraId="3FA317FC" w14:textId="77777777" w:rsidR="0023694A" w:rsidRDefault="0000000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23694A" w14:paraId="46A6246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BF191"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06CF2B6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105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14:paraId="0C01CAF5" w14:textId="77777777" w:rsidR="0023694A" w:rsidRDefault="0023694A">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C7D6"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694A" w14:paraId="0E5BBF8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E4339"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5E56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6F9363"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227D" w14:textId="77777777" w:rsidR="0023694A" w:rsidRPr="00522B9A" w:rsidRDefault="00000000">
            <w:pPr>
              <w:spacing w:after="0" w:line="240" w:lineRule="auto"/>
              <w:ind w:right="140"/>
              <w:jc w:val="both"/>
              <w:rPr>
                <w:rFonts w:ascii="Times New Roman" w:eastAsia="Times New Roman" w:hAnsi="Times New Roman" w:cs="Times New Roman"/>
                <w:b/>
                <w:i/>
                <w:sz w:val="20"/>
                <w:szCs w:val="20"/>
              </w:rPr>
            </w:pPr>
            <w:r w:rsidRPr="00522B9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67161A5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55FD11B5"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1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689D3CFF"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w:t>
            </w:r>
            <w:r w:rsidRPr="00522B9A">
              <w:rPr>
                <w:rFonts w:ascii="Times New Roman" w:eastAsia="Times New Roman" w:hAnsi="Times New Roman" w:cs="Times New Roman"/>
                <w:i/>
                <w:sz w:val="20"/>
                <w:szCs w:val="20"/>
              </w:rPr>
              <w:lastRenderedPageBreak/>
              <w:t>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22B9A">
              <w:rPr>
                <w:rFonts w:ascii="Times New Roman" w:eastAsia="Times New Roman" w:hAnsi="Times New Roman" w:cs="Times New Roman"/>
                <w:b/>
                <w:i/>
                <w:sz w:val="20"/>
                <w:szCs w:val="20"/>
              </w:rPr>
              <w:t xml:space="preserve"> </w:t>
            </w:r>
            <w:r w:rsidRPr="00522B9A">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7339E038" w14:textId="77777777" w:rsidR="0023694A" w:rsidRPr="00522B9A" w:rsidRDefault="00000000">
            <w:pPr>
              <w:spacing w:after="0" w:line="256"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23694A" w14:paraId="76B82C96"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6932"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3841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F074E7" w14:textId="77777777" w:rsidR="0023694A" w:rsidRDefault="00000000">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C17B04"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990BAB" w14:textId="77777777" w:rsidR="0023694A" w:rsidRDefault="0023694A">
            <w:pPr>
              <w:spacing w:after="0" w:line="240" w:lineRule="auto"/>
              <w:jc w:val="both"/>
              <w:rPr>
                <w:rFonts w:ascii="Times New Roman" w:eastAsia="Times New Roman" w:hAnsi="Times New Roman" w:cs="Times New Roman"/>
                <w:b/>
                <w:sz w:val="20"/>
                <w:szCs w:val="20"/>
                <w:highlight w:val="white"/>
              </w:rPr>
            </w:pPr>
          </w:p>
          <w:p w14:paraId="1F6166F9" w14:textId="1BD531BE" w:rsidR="0023694A" w:rsidRDefault="0023694A">
            <w:pPr>
              <w:spacing w:after="0" w:line="240" w:lineRule="auto"/>
              <w:jc w:val="both"/>
              <w:rPr>
                <w:rFonts w:ascii="Times New Roman" w:eastAsia="Times New Roman" w:hAnsi="Times New Roman" w:cs="Times New Roman"/>
                <w:b/>
                <w:sz w:val="20"/>
                <w:szCs w:val="20"/>
                <w:highlight w:val="white"/>
              </w:rPr>
            </w:pPr>
          </w:p>
        </w:tc>
      </w:tr>
      <w:tr w:rsidR="0023694A" w14:paraId="73721347"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6983"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3732C"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A63BC0"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E4EE348"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694A" w14:paraId="68C37C29"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EA1" w14:textId="77777777" w:rsidR="0023694A" w:rsidRDefault="0000000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8DF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E71F2"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62CDA"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7F3059" w14:textId="77777777" w:rsidR="0023694A" w:rsidRDefault="0023694A">
      <w:pPr>
        <w:spacing w:after="0" w:line="240" w:lineRule="auto"/>
        <w:rPr>
          <w:rFonts w:ascii="Times New Roman" w:eastAsia="Times New Roman" w:hAnsi="Times New Roman" w:cs="Times New Roman"/>
          <w:b/>
          <w:color w:val="000000"/>
          <w:sz w:val="20"/>
          <w:szCs w:val="20"/>
        </w:rPr>
      </w:pPr>
    </w:p>
    <w:p w14:paraId="606E9F0C" w14:textId="77777777" w:rsidR="0023694A" w:rsidRDefault="0000000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23694A" w14:paraId="09692A3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86B99"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A4971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4096C" w14:textId="77777777" w:rsidR="0023694A" w:rsidRDefault="0000000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352A2816" w14:textId="77777777" w:rsidR="0023694A" w:rsidRDefault="0023694A">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0A225"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694A" w14:paraId="175C1C52"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5C32C"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D2922"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3FAF08" w14:textId="77777777" w:rsidR="0023694A" w:rsidRDefault="0000000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A89CB" w14:textId="77777777" w:rsidR="0023694A" w:rsidRPr="00522B9A" w:rsidRDefault="00000000">
            <w:pPr>
              <w:spacing w:after="0" w:line="240" w:lineRule="auto"/>
              <w:ind w:right="140"/>
              <w:jc w:val="both"/>
              <w:rPr>
                <w:rFonts w:ascii="Times New Roman" w:eastAsia="Times New Roman" w:hAnsi="Times New Roman" w:cs="Times New Roman"/>
                <w:b/>
                <w:sz w:val="20"/>
                <w:szCs w:val="20"/>
              </w:rPr>
            </w:pPr>
            <w:r w:rsidRPr="00522B9A">
              <w:rPr>
                <w:rFonts w:ascii="Times New Roman" w:eastAsia="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0F50574"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17"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18"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19"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0"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цього пункту.</w:t>
            </w:r>
          </w:p>
          <w:p w14:paraId="42DF0706" w14:textId="77777777" w:rsidR="0023694A" w:rsidRPr="00522B9A" w:rsidRDefault="00000000">
            <w:pPr>
              <w:spacing w:after="0" w:line="27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r w:rsidRPr="00522B9A">
                <w:rPr>
                  <w:rFonts w:ascii="Times New Roman" w:eastAsia="Times New Roman" w:hAnsi="Times New Roman" w:cs="Times New Roman"/>
                  <w:i/>
                  <w:sz w:val="20"/>
                  <w:szCs w:val="20"/>
                </w:rPr>
                <w:t>підпунктах 3</w:t>
              </w:r>
            </w:hyperlink>
            <w:r w:rsidRPr="00522B9A">
              <w:rPr>
                <w:rFonts w:ascii="Times New Roman" w:eastAsia="Times New Roman" w:hAnsi="Times New Roman" w:cs="Times New Roman"/>
                <w:i/>
                <w:sz w:val="20"/>
                <w:szCs w:val="20"/>
              </w:rPr>
              <w:t xml:space="preserve">, </w:t>
            </w:r>
            <w:hyperlink r:id="rId22" w:anchor="n620">
              <w:r w:rsidRPr="00522B9A">
                <w:rPr>
                  <w:rFonts w:ascii="Times New Roman" w:eastAsia="Times New Roman" w:hAnsi="Times New Roman" w:cs="Times New Roman"/>
                  <w:i/>
                  <w:sz w:val="20"/>
                  <w:szCs w:val="20"/>
                </w:rPr>
                <w:t>5</w:t>
              </w:r>
            </w:hyperlink>
            <w:r w:rsidRPr="00522B9A">
              <w:rPr>
                <w:rFonts w:ascii="Times New Roman" w:eastAsia="Times New Roman" w:hAnsi="Times New Roman" w:cs="Times New Roman"/>
                <w:i/>
                <w:sz w:val="20"/>
                <w:szCs w:val="20"/>
              </w:rPr>
              <w:t xml:space="preserve">, </w:t>
            </w:r>
            <w:hyperlink r:id="rId23" w:anchor="n621">
              <w:r w:rsidRPr="00522B9A">
                <w:rPr>
                  <w:rFonts w:ascii="Times New Roman" w:eastAsia="Times New Roman" w:hAnsi="Times New Roman" w:cs="Times New Roman"/>
                  <w:i/>
                  <w:sz w:val="20"/>
                  <w:szCs w:val="20"/>
                </w:rPr>
                <w:t>6</w:t>
              </w:r>
            </w:hyperlink>
            <w:r w:rsidRPr="00522B9A">
              <w:rPr>
                <w:rFonts w:ascii="Times New Roman" w:eastAsia="Times New Roman" w:hAnsi="Times New Roman" w:cs="Times New Roman"/>
                <w:i/>
                <w:sz w:val="20"/>
                <w:szCs w:val="20"/>
              </w:rPr>
              <w:t xml:space="preserve"> і </w:t>
            </w:r>
            <w:hyperlink r:id="rId24" w:anchor="n627">
              <w:r w:rsidRPr="00522B9A">
                <w:rPr>
                  <w:rFonts w:ascii="Times New Roman" w:eastAsia="Times New Roman" w:hAnsi="Times New Roman" w:cs="Times New Roman"/>
                  <w:i/>
                  <w:sz w:val="20"/>
                  <w:szCs w:val="20"/>
                </w:rPr>
                <w:t>12</w:t>
              </w:r>
            </w:hyperlink>
            <w:r w:rsidRPr="00522B9A">
              <w:rPr>
                <w:rFonts w:ascii="Times New Roman" w:eastAsia="Times New Roman" w:hAnsi="Times New Roman" w:cs="Times New Roman"/>
                <w:i/>
                <w:sz w:val="20"/>
                <w:szCs w:val="20"/>
              </w:rPr>
              <w:t xml:space="preserve"> та в </w:t>
            </w:r>
            <w:hyperlink r:id="rId25" w:anchor="n628">
              <w:r w:rsidRPr="00522B9A">
                <w:rPr>
                  <w:rFonts w:ascii="Times New Roman" w:eastAsia="Times New Roman" w:hAnsi="Times New Roman" w:cs="Times New Roman"/>
                  <w:i/>
                  <w:sz w:val="20"/>
                  <w:szCs w:val="20"/>
                </w:rPr>
                <w:t>абзаці чотирнадцятому</w:t>
              </w:r>
            </w:hyperlink>
            <w:r w:rsidRPr="00522B9A">
              <w:rPr>
                <w:rFonts w:ascii="Times New Roman" w:eastAsia="Times New Roman" w:hAnsi="Times New Roman" w:cs="Times New Roman"/>
                <w:i/>
                <w:sz w:val="20"/>
                <w:szCs w:val="20"/>
              </w:rPr>
              <w:t xml:space="preserve"> пункту 47 Особливостей.</w:t>
            </w:r>
          </w:p>
          <w:p w14:paraId="011D4524" w14:textId="77777777" w:rsidR="0023694A" w:rsidRPr="00522B9A" w:rsidRDefault="00000000">
            <w:pPr>
              <w:spacing w:after="0" w:line="256" w:lineRule="auto"/>
              <w:ind w:right="140"/>
              <w:jc w:val="both"/>
              <w:rPr>
                <w:rFonts w:ascii="Times New Roman" w:eastAsia="Times New Roman" w:hAnsi="Times New Roman" w:cs="Times New Roman"/>
                <w:i/>
                <w:sz w:val="20"/>
                <w:szCs w:val="20"/>
              </w:rPr>
            </w:pPr>
            <w:r w:rsidRPr="00522B9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F22AAD" w14:textId="77777777" w:rsidR="0023694A" w:rsidRPr="00522B9A" w:rsidRDefault="00000000">
            <w:pPr>
              <w:spacing w:after="0" w:line="240" w:lineRule="auto"/>
              <w:ind w:right="140"/>
              <w:jc w:val="both"/>
              <w:rPr>
                <w:rFonts w:ascii="Times New Roman" w:eastAsia="Times New Roman" w:hAnsi="Times New Roman" w:cs="Times New Roman"/>
                <w:sz w:val="20"/>
                <w:szCs w:val="20"/>
              </w:rPr>
            </w:pPr>
            <w:r w:rsidRPr="00522B9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23694A" w14:paraId="149D0555"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74331"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7AA0"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02456F"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2E9015" w14:textId="77777777" w:rsidR="0023694A" w:rsidRDefault="0000000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5A70E3" w14:textId="77777777" w:rsidR="0023694A" w:rsidRDefault="0023694A">
            <w:pPr>
              <w:spacing w:after="0" w:line="240" w:lineRule="auto"/>
              <w:jc w:val="both"/>
              <w:rPr>
                <w:rFonts w:ascii="Times New Roman" w:eastAsia="Times New Roman" w:hAnsi="Times New Roman" w:cs="Times New Roman"/>
                <w:b/>
                <w:color w:val="000000"/>
                <w:sz w:val="20"/>
                <w:szCs w:val="20"/>
              </w:rPr>
            </w:pPr>
          </w:p>
          <w:p w14:paraId="3AA98696" w14:textId="5CE1FB25" w:rsidR="0023694A" w:rsidRDefault="0023694A">
            <w:pPr>
              <w:spacing w:after="0" w:line="240" w:lineRule="auto"/>
              <w:jc w:val="both"/>
              <w:rPr>
                <w:rFonts w:ascii="Times New Roman" w:eastAsia="Times New Roman" w:hAnsi="Times New Roman" w:cs="Times New Roman"/>
                <w:sz w:val="20"/>
                <w:szCs w:val="20"/>
              </w:rPr>
            </w:pPr>
          </w:p>
        </w:tc>
      </w:tr>
      <w:tr w:rsidR="0023694A" w14:paraId="3B2DFDF4"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24360"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FAE3E" w14:textId="77777777" w:rsidR="0023694A"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0C375F" w14:textId="77777777" w:rsidR="0023694A" w:rsidRDefault="0000000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50FDB" w14:textId="77777777" w:rsidR="0023694A" w:rsidRDefault="0023694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694A" w14:paraId="1FBDE26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8B9" w14:textId="77777777" w:rsidR="0023694A" w:rsidRDefault="0000000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C9E4F"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D1DBCB" w14:textId="77777777" w:rsidR="0023694A"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E332" w14:textId="77777777" w:rsidR="0023694A"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A3A98A" w14:textId="77777777" w:rsidR="0023694A" w:rsidRDefault="0023694A">
      <w:pPr>
        <w:shd w:val="clear" w:color="auto" w:fill="FFFFFF"/>
        <w:spacing w:after="0" w:line="240" w:lineRule="auto"/>
        <w:rPr>
          <w:rFonts w:ascii="Times New Roman" w:eastAsia="Times New Roman" w:hAnsi="Times New Roman" w:cs="Times New Roman"/>
          <w:sz w:val="20"/>
          <w:szCs w:val="20"/>
        </w:rPr>
      </w:pPr>
    </w:p>
    <w:p w14:paraId="6BABF357" w14:textId="77777777" w:rsidR="0023694A"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23694A" w14:paraId="15ED9A29"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A33323" w14:textId="77777777" w:rsidR="0023694A" w:rsidRDefault="0000000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3694A" w14:paraId="250BBAC7"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FE591" w14:textId="77777777" w:rsidR="0023694A" w:rsidRDefault="0000000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E13D" w14:textId="77777777" w:rsidR="0023694A" w:rsidRDefault="0000000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694A" w14:paraId="6342739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9210F" w14:textId="77777777" w:rsidR="0023694A" w:rsidRDefault="0000000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62234" w14:textId="77777777" w:rsidR="0023694A" w:rsidRDefault="0000000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509AF1FE" w14:textId="77777777" w:rsidR="0023694A" w:rsidRDefault="0000000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3694A" w14:paraId="5A1CAE0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94B4A" w14:textId="77777777" w:rsidR="0023694A" w:rsidRDefault="0000000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A0AC9"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16C7DA4" w14:textId="77777777" w:rsidR="0023694A" w:rsidRDefault="00000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194D3E41" w14:textId="77777777" w:rsidR="0023694A" w:rsidRDefault="0023694A">
      <w:pPr>
        <w:spacing w:after="0" w:line="240" w:lineRule="auto"/>
        <w:rPr>
          <w:rFonts w:ascii="Times New Roman" w:eastAsia="Times New Roman" w:hAnsi="Times New Roman" w:cs="Times New Roman"/>
          <w:sz w:val="20"/>
          <w:szCs w:val="20"/>
        </w:rPr>
      </w:pPr>
    </w:p>
    <w:sectPr w:rsidR="002369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1BB"/>
    <w:multiLevelType w:val="multilevel"/>
    <w:tmpl w:val="4308EB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A86832"/>
    <w:multiLevelType w:val="multilevel"/>
    <w:tmpl w:val="3F6C7D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6836AA"/>
    <w:multiLevelType w:val="multilevel"/>
    <w:tmpl w:val="9E4AF04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C407E1"/>
    <w:multiLevelType w:val="multilevel"/>
    <w:tmpl w:val="D7CC4C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8BD7664"/>
    <w:multiLevelType w:val="multilevel"/>
    <w:tmpl w:val="57E08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8C23EC"/>
    <w:multiLevelType w:val="multilevel"/>
    <w:tmpl w:val="A498F9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75735312">
    <w:abstractNumId w:val="5"/>
  </w:num>
  <w:num w:numId="2" w16cid:durableId="958074403">
    <w:abstractNumId w:val="3"/>
  </w:num>
  <w:num w:numId="3" w16cid:durableId="473329005">
    <w:abstractNumId w:val="4"/>
  </w:num>
  <w:num w:numId="4" w16cid:durableId="1265262309">
    <w:abstractNumId w:val="0"/>
  </w:num>
  <w:num w:numId="5" w16cid:durableId="1981958798">
    <w:abstractNumId w:val="1"/>
  </w:num>
  <w:num w:numId="6" w16cid:durableId="1257060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4A"/>
    <w:rsid w:val="0023694A"/>
    <w:rsid w:val="00334EAE"/>
    <w:rsid w:val="00411525"/>
    <w:rsid w:val="00462876"/>
    <w:rsid w:val="00522B9A"/>
    <w:rsid w:val="0076427A"/>
    <w:rsid w:val="008A7DA8"/>
    <w:rsid w:val="00AC0160"/>
    <w:rsid w:val="00AC6F4C"/>
    <w:rsid w:val="00B34646"/>
    <w:rsid w:val="00B569C5"/>
    <w:rsid w:val="00D3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D93B"/>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12256</Words>
  <Characters>6986</Characters>
  <Application>Microsoft Office Word</Application>
  <DocSecurity>0</DocSecurity>
  <Lines>58</Lines>
  <Paragraphs>38</Paragraphs>
  <ScaleCrop>false</ScaleCrop>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Ivan Fedan</cp:lastModifiedBy>
  <cp:revision>14</cp:revision>
  <dcterms:created xsi:type="dcterms:W3CDTF">2022-10-24T07:10:00Z</dcterms:created>
  <dcterms:modified xsi:type="dcterms:W3CDTF">2024-01-17T17:08:00Z</dcterms:modified>
</cp:coreProperties>
</file>