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7D" w:rsidRPr="00474B9C" w:rsidRDefault="009C4D7D" w:rsidP="009C4D7D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Додаток №</w:t>
      </w:r>
      <w:r w:rsidRPr="00474B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</w:p>
    <w:p w:rsidR="009C4D7D" w:rsidRPr="00474B9C" w:rsidRDefault="009C4D7D" w:rsidP="009C4D7D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4B9C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474B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9C4D7D" w:rsidRPr="00474B9C" w:rsidRDefault="009C4D7D" w:rsidP="009C4D7D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C4D7D" w:rsidRPr="00671EB7" w:rsidRDefault="009C4D7D" w:rsidP="009C4D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EB7">
        <w:rPr>
          <w:rFonts w:ascii="Times New Roman" w:hAnsi="Times New Roman" w:cs="Times New Roman"/>
          <w:b/>
          <w:sz w:val="24"/>
          <w:szCs w:val="24"/>
        </w:rPr>
        <w:t xml:space="preserve">ТЕХНІЧНІ ВИМОГИ </w:t>
      </w:r>
    </w:p>
    <w:p w:rsidR="009C4D7D" w:rsidRPr="00671EB7" w:rsidRDefault="009C4D7D" w:rsidP="009C4D7D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EB7">
        <w:rPr>
          <w:rFonts w:ascii="Times New Roman" w:hAnsi="Times New Roman" w:cs="Times New Roman"/>
          <w:sz w:val="24"/>
          <w:szCs w:val="24"/>
        </w:rPr>
        <w:t>Технічні, якісні та кількісні вимоги до предмету закупівлі.</w:t>
      </w:r>
    </w:p>
    <w:p w:rsidR="009C4D7D" w:rsidRDefault="009C4D7D" w:rsidP="009C4D7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1EB7">
        <w:rPr>
          <w:rFonts w:ascii="Times New Roman" w:eastAsia="Times New Roman" w:hAnsi="Times New Roman" w:cs="Times New Roman"/>
          <w:i/>
          <w:sz w:val="24"/>
          <w:szCs w:val="24"/>
        </w:rPr>
        <w:t>У разі наявності в предметі закупівлі, його технічних та якісних характеристиках посилань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 конкретні торговельну марку чи фірму, патент, конструкцію або тип предмета закупівлі, джерело його походження або виробника, технічні умови, після такого посилання слід вважати в наявності вираз «або еквівалент».</w:t>
      </w:r>
    </w:p>
    <w:p w:rsidR="009C4D7D" w:rsidRPr="00474B9C" w:rsidRDefault="009C4D7D" w:rsidP="009C4D7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7"/>
        <w:gridCol w:w="5990"/>
        <w:gridCol w:w="1527"/>
        <w:gridCol w:w="1697"/>
      </w:tblGrid>
      <w:tr w:rsidR="009C4D7D" w:rsidTr="008A1C8E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Технічні вимоги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Наявність функції або величина параметру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Відповідність (так/ні) з посиланням на сторінку відповідного документу</w:t>
            </w:r>
          </w:p>
        </w:tc>
      </w:tr>
      <w:tr w:rsidR="009C4D7D" w:rsidTr="008A1C8E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Автоматичний навчальний дефібрилятор – 3 шт.</w:t>
            </w:r>
          </w:p>
        </w:tc>
      </w:tr>
      <w:tr w:rsidR="009C4D7D" w:rsidTr="008A1C8E">
        <w:trPr>
          <w:trHeight w:val="618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Повинен: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повторювати форму та розмір «бойових» автоматичних зовнішніх дефібриляторів;</w:t>
            </w:r>
          </w:p>
          <w:p w:rsidR="009C4D7D" w:rsidRDefault="009C4D7D" w:rsidP="008A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мати кнопку вибору дорослого та дитячого режимів;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мати можливість вибору між англійською та українською мовами;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мати тренувальні багаторазові електроди високої якості, які включають наступні характеристики: чіткі схеми для розміщення згідно анатомічних орієнтирів,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адгезив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тривалого використання, добре прилипають до всіх манекенів без брудних залишків, унікальний контактний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роз’єм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фіксуючим штекером;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мати чутливу систему накладок електродів;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мати захисний футляр багаторазового використання для електродів;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мати підсвічену кнопку розряду;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мати кнопку увімкнення/вимкнення зі світловим індикатором та опцією паузи програми;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мати не менше 5-ти запрограмованих тренувальних сценаріїв;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мати чіткі і спокійні голосові підказки та можливість зміни гучності;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мати метроном компресій грудної клітки із звуковими нагадуваннями;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надавати можливість практикувати розряд в автоматичному або напівавтоматичному режимах;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мати опцію програмування з включенням або виключення часу для вдихів після циклу компресій;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мати тривале життя батареї;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включати: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- навчальний автоматичний зовнішній дефібрилятор – не менше 1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- комплект електродів для дорослих і дітей – не менше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- комплект додаткових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штифтів-конекторів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менше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- комплект батарейок, тип С – не менше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- сумка для зберігання і перенесення – не менше 1 шт.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Наявність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D7D" w:rsidTr="008A1C8E">
        <w:trPr>
          <w:trHeight w:val="618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Симулятор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оцінки виконання серцево-легеневої реанімації – 1 шт.</w:t>
            </w:r>
          </w:p>
        </w:tc>
      </w:tr>
      <w:tr w:rsidR="009C4D7D" w:rsidTr="008A1C8E">
        <w:trPr>
          <w:trHeight w:val="618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повинен бути виготовлений у розмірах, наближених до середніх параметрів торсу дорослої людини з головою, мати реалістичний вигляд та бути реалістичним на дотик;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повинен надавати можливість практикувати закидання голови та підняття підборіддя для відкриття дихальних шляхів;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повинен мати всі необхідні анатомічні орієнтири для надання серцево-легеневої реанімації;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повинен відтворювати екскурсію грудної клітки при правильній вентиляції легень;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повинен надавати можливість практикувати серцево-легеневу реанімацію;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повинен видавати звуковий сигнал при правильному виконанні компресій грудної клітки по частоті і по глибині та надавати можливість вимикати його за необхідності;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повинен містити цифровий дисплей в області живота та надавати можливість контролювати під час тренування наступні параметри: положення рук у реальному часі, глибину компресій, загальну кількість правильних компресій, об’єм вентиляції у реальному часі, загальну кількість правильних вентиляцій;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повинен надавати можливість дистанційно контролювати правильність виконання серцево-легеневої реанімації з планшетного комп’ютера за допомогою програмного забезпечення на операційній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Android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або аналогічній;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повинен забезпечувати можливість контролювати правильність виконання реанімації не менше ніж в 3 режимах: ігровому, тренувальному та оцінювальному;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повинен відображати на екрані планшетного комп’ютера при тренуванні наступне: зображення серця при компресіях та індикація правильності виконання, зображення легень при вентиляціях та індикація правильності виконання, графічне відображення глибини компресій та об’єму вентиляцій в режимі реального часу, кількість компресій грудної клітки та числове значення глибини компресій у реальному часі, кількість вентиляцій та числове значення об’єму вентиляції в реальному часі;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повинен надавати можливість зберігати кінцевий детальний звіт;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повинен надавати можливість за допомогою програмного забезпечення контролювати параметри виконання компресій та вентиляцій учасниками тренування на від 1 до 6 манекенах одночасно з одного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пристрою;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повинен мати можливість працювати від батарейок та мережі змінного струму;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повинен комплектуватись не менше 1 шкірою обличчя, не менше ніж 10 мішків легень, не менше ніж 1 комплектом магнітних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стікерів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електродів дефібрилятора, не менше ніж 1 кабелем живлення, не менше ніж 1 валізою для зберігання.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Наявність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D7D" w:rsidTr="008A1C8E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7D" w:rsidRDefault="009C4D7D" w:rsidP="008A1C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Тренажер для вимірювання артеріального тиску та частоти пульсу – 1 шт.</w:t>
            </w:r>
          </w:p>
        </w:tc>
      </w:tr>
      <w:tr w:rsidR="009C4D7D" w:rsidTr="008A1C8E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7D" w:rsidRDefault="009C4D7D" w:rsidP="008A1C8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повинен мати вигляд верхньої кінцівки людини з розділеними пальцями та необхідними анатомічними орієнтирами для накладення манжети манометра;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повинен мати виготовлену з м’якого реалістичного матеріалу шкіру руки;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повинен надавати можливість налаштовувати величини систолічного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діастолічного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кров’яного тиску та частоти пульсу дистанційно;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повинен надавати можливість обирати між режимами відображення (аускультація, пальпація, аускультація та пальпація);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повинен надавати можливість вмикати або вимикати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аускультативний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провал;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повинен відображати графіки зміни тиску в манжеті в реальному часі;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повинен забезпечувати деталізований зворотний зв’язок у реальному часі;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повинен надавати можливість пальпувати пульс променевої та плечової артерій;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повинен відображати в режимі реального часу графік тиску в манжеті, статус накладання манжети, статус пальпації плечової артерії, значення тиску в манжеті та швидкість зниження тиску, секції;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повинен надавати можливість вислуховувати тони Короткова плечової артерії за допомогою стетоскопа та надавати можливість змінювати їх гучність;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повинен надавати можливість вмикати або вимикати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аускультативний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провал;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повинен надавати можливість змінювати час тривалості тренування;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повинен надавати можливість передавати результати тренування на друк;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повинен надавати можливість працювати від джерела змінного струму та від батарейок;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повинен комплектуватись не менше ніж 1 планшетним ПК з сенсорним дисплеєм, не менше ніж 1 підставкою для руки, не менше ніж 1 адаптером живлення, не менше ніж 1 пристроєм для вимірювання тиску, не менше ніж 1 пристроєм для підключення батарейок, не менше ніж 1 сумкою для транспортування.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D7D" w:rsidTr="008A1C8E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7D" w:rsidRDefault="009C4D7D" w:rsidP="008A1C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Тренажер для контролю кровотечі верхньої кінцівки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- 1 шт.</w:t>
            </w:r>
          </w:p>
        </w:tc>
      </w:tr>
      <w:tr w:rsidR="009C4D7D" w:rsidTr="008A1C8E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Повинен: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мати вигляд повної руки дорослого чоловіка з реалістичною зовнішньою анатомією;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бути призначений для багаторазового використання;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надавати можливість вдосконалювати навички зупинки кровотечі методом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ампонади рани і накладення джгута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бути оснащений трьома різними типами поранення: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глибокою раною або колото-різаною раною, вогнепальним наскрізним пораненням зі зброї великого калібру, розривною раною в області плеча;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 xml:space="preserve">- мати можливість контролю кровотечі з кожної рани за допомогою ручної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перфузійної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системи, що імітує венозний або артеріальний пульсуючий крововилив;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- мати можливість за допомогою ременя закріплюватись до добровольця;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мати прямий зворотній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зв’язок у випадку правильного виконання зупинки кровотечі;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- мати високоякісний міцний матеріал для імітації тактильних відчуттів шкіри і тканин людини;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 xml:space="preserve">-  мати кісткові орієнтири і пошкоджену в результаті вогнепального поранення зі зброї великого калібру судину, що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пальпується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- можливість накладати джгут «високо та щільно» над раною;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- мати можливість приховати кожну рану за допомогою спеціального захисного матеріалу;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- мати можливість кровотечі кожної рани незалежної одна від одної;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 xml:space="preserve">- мати можливість застосовувати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гемостатичний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пристрій;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- бути призначений для використання в польових умовах, мати міцну конструкцію, що не вимагає використання акумуляторних батарей або зовнішнього джерела живлення;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- легко очищатись та транспортуватись;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- включати: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 xml:space="preserve">  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тренажер руки - не менше ніж 1 шт.;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- силіконові накладки на рани - не менше ніж 3 шт.;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- каністра для штучної крові – не менше 1 шт.;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- ручна система накачування крові - не менше 1 шт.;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роз’єм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множинної кровотечі – не менше 1 шт.;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- концентрат штучної крові - не менше 1 шт.;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- футляр для зберігання та транспортування з ремінцем, який дозволяє перетворити руку        у тренажер, який можна одягнути – не менше 1 шт.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D7D" w:rsidTr="008A1C8E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7D" w:rsidRDefault="009C4D7D" w:rsidP="008A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Тренажер для практики накладання швів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шт.</w:t>
            </w:r>
          </w:p>
        </w:tc>
      </w:tr>
      <w:tr w:rsidR="009C4D7D" w:rsidTr="008A1C8E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Повинен: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 мати вигляд блоку з імітованими шарами епідермісу, дерми, фасції, жировим та м’язовим шарами;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повинен надавати можливість здійснювати надрізи різної глибини;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 дозволяти практикувати зашивання глибоких і підшкірних покривів, поверхневе накладання швів, зав’язування вузлів, шиття дротовими скобами і розміщення скоб, використання хірургічного клею;</w:t>
            </w:r>
          </w:p>
          <w:p w:rsidR="009C4D7D" w:rsidRDefault="009C4D7D" w:rsidP="008A1C8E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включати: - комплект хірургічних інструментів, в який мають входити ножиці, хірургічний пінцет, скальпель, голкотримач, нейлонова нитка, футляр для їх зберігання – не менше ніж 1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.; - сумку для зберігання і транспортування – не менше ніж 1 шт.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Наявність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D7D" w:rsidTr="008A1C8E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D7D" w:rsidRDefault="009C4D7D" w:rsidP="008A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Тренажер для внутрішньовенних ін`єкцій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шт.</w:t>
            </w:r>
          </w:p>
        </w:tc>
      </w:tr>
      <w:tr w:rsidR="009C4D7D" w:rsidTr="008A1C8E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7D" w:rsidRDefault="009C4D7D" w:rsidP="008A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бути виготовлений у вигляді подушки з імітацією шкіри та анатомічно правильним розташуванням судин;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мати імітації латеральної підшкірної, медіальної та серединної ліктьової вен та імітацію артерії;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мати імітовану шкіру, реалістичну на дотик;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бути встановленим на пластикову основу та оснащеним пристосуванням для закріплення на тілі людини або манекена;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надавати можливість імітувати гази в артеріальній крові;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надавати можливість практикувати внутрішньовенні та артеріальні ін’єкції з використанням штучної крові;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надавати можливість практикувати виправлення пункції через вену в артерію;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надавати можливість практикувати базові комунікативні навички та взаємодію з пацієнтом;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надавати можливість легко замінити вени, артерію та шкіру;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комплектуватися імітацією штучної крові та не менше ніж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шприцем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D7D" w:rsidTr="008A1C8E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D7D" w:rsidRDefault="009C4D7D" w:rsidP="008A1C8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Інтерактивний набір для практики хірургічних вправ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шт.</w:t>
            </w:r>
          </w:p>
        </w:tc>
      </w:tr>
      <w:tr w:rsidR="009C4D7D" w:rsidTr="008A1C8E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7D" w:rsidRDefault="009C4D7D" w:rsidP="008A1C8E">
            <w:pPr>
              <w:tabs>
                <w:tab w:val="center" w:pos="4819"/>
                <w:tab w:val="right" w:pos="96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Повинен:</w:t>
            </w:r>
          </w:p>
          <w:p w:rsidR="009C4D7D" w:rsidRDefault="009C4D7D" w:rsidP="008A1C8E">
            <w:pPr>
              <w:tabs>
                <w:tab w:val="center" w:pos="4819"/>
                <w:tab w:val="right" w:pos="96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бути виготовлений у вигляді подушки з імітацією шкіри;</w:t>
            </w:r>
          </w:p>
          <w:p w:rsidR="009C4D7D" w:rsidRDefault="009C4D7D" w:rsidP="008A1C8E">
            <w:pPr>
              <w:tabs>
                <w:tab w:val="center" w:pos="4819"/>
                <w:tab w:val="right" w:pos="96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легко приєднуватися до руки, ноги або стегна людини чи макета;</w:t>
            </w:r>
          </w:p>
          <w:p w:rsidR="009C4D7D" w:rsidRDefault="009C4D7D" w:rsidP="008A1C8E">
            <w:pPr>
              <w:tabs>
                <w:tab w:val="center" w:pos="4819"/>
                <w:tab w:val="right" w:pos="96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дозволяти практикувати техніки накладань хірургічних швів;</w:t>
            </w:r>
          </w:p>
          <w:p w:rsidR="009C4D7D" w:rsidRDefault="009C4D7D" w:rsidP="008A1C8E">
            <w:pPr>
              <w:tabs>
                <w:tab w:val="center" w:pos="4819"/>
                <w:tab w:val="right" w:pos="96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надавати можливість практикувати навички зав’язування вузлів, розміщення хірургічних скоб та зашивання поверхневих і глибоких ран;</w:t>
            </w:r>
          </w:p>
          <w:p w:rsidR="009C4D7D" w:rsidRDefault="009C4D7D" w:rsidP="008A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надавати можливість визначати самостійно глибину накладання швів;</w:t>
            </w:r>
          </w:p>
          <w:p w:rsidR="009C4D7D" w:rsidRDefault="009C4D7D" w:rsidP="008A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мати автоматичне відкривання ран при розрізанні;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включати: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- основу для фіксації подушечки – не менше 1 шт.</w:t>
            </w:r>
          </w:p>
          <w:p w:rsidR="009C4D7D" w:rsidRDefault="009C4D7D" w:rsidP="008A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подушечку шкіри 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менше 1 шт.</w:t>
            </w:r>
          </w:p>
          <w:p w:rsidR="009C4D7D" w:rsidRDefault="009C4D7D" w:rsidP="008A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нейлонову нитку – не менш 1 шт.</w:t>
            </w:r>
          </w:p>
          <w:p w:rsidR="009C4D7D" w:rsidRDefault="009C4D7D" w:rsidP="008A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скальпель - не менше 1.шт.</w:t>
            </w:r>
          </w:p>
          <w:p w:rsidR="009C4D7D" w:rsidRDefault="009C4D7D" w:rsidP="008A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- пінцет - не менше 1 шт.</w:t>
            </w:r>
          </w:p>
          <w:p w:rsidR="009C4D7D" w:rsidRDefault="009C4D7D" w:rsidP="008A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медичні ножиці – не менше й шт.</w:t>
            </w:r>
          </w:p>
          <w:p w:rsidR="009C4D7D" w:rsidRDefault="009C4D7D" w:rsidP="008A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футляр для інструментів – не менше 1 шт.</w:t>
            </w:r>
          </w:p>
          <w:p w:rsidR="009C4D7D" w:rsidRDefault="009C4D7D" w:rsidP="008A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голкотримач – не менше 1 шт.</w:t>
            </w:r>
          </w:p>
          <w:p w:rsidR="009C4D7D" w:rsidRDefault="009C4D7D" w:rsidP="008A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сумку для транспортування - не менше 1 шт.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Наявність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D7D" w:rsidTr="008A1C8E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7D" w:rsidRDefault="009C4D7D" w:rsidP="008A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Модель для катетеризації та постановки клізми у жінок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шт.</w:t>
            </w:r>
          </w:p>
        </w:tc>
      </w:tr>
      <w:tr w:rsidR="009C4D7D" w:rsidTr="008A1C8E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Повинен: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мати м’які та анатомічно точні жіночі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геніталії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мати можливість змінювати зовнішні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геніталії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відтоком рідини підтверджувати успішне введення катетера;</w:t>
            </w:r>
          </w:p>
          <w:p w:rsidR="009C4D7D" w:rsidRDefault="009C4D7D" w:rsidP="008A1C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надавати можливість практикувати катетеризацію сечового міхура;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надавати можливість практикувати переривчасту катетеризацію;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надавати можливість застосовувати постійний катетер;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надавати можливість практикувати догляд за промежиною;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надавати можливість практикувати локалізацію зовнішнього отвору уретри;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надавати можливість практикувати постановку клізми в бічному положенні;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надавати можливість практикувати техніку очищення та асептики;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надавати можливість практикувати введення та розміщення катетера;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надавати можливість практикувати видалення катетера;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надавати можливість практикувати ручний масаж сечового міхура;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включати: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- манекен нижньої частини тулуба – не менше 1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- блок жіночих статевих органів – не менше 1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- клапани – не менше 3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- пляшка для промивання – не менше 1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- трубка для прямої кишки – не менше 1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- дренажні трубки для промивання – не менше 3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лубрикант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не менше 1 шт.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D7D" w:rsidTr="008A1C8E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7D" w:rsidRDefault="009C4D7D" w:rsidP="008A1C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Модель для катетеризації та постановки клізми у чоловіків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шт.</w:t>
            </w:r>
          </w:p>
        </w:tc>
      </w:tr>
      <w:tr w:rsidR="009C4D7D" w:rsidTr="008A1C8E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Повинен: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мати м’які та анатомічно точні чоловічі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геніталії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мати можливість змінювати зовнішні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геніталії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відтоком рідини підтверджувати успішне введення катетера;</w:t>
            </w:r>
          </w:p>
          <w:p w:rsidR="009C4D7D" w:rsidRDefault="009C4D7D" w:rsidP="008A1C8E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надавати можливість практикувати катетеризацію сечового міхура;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надавати можливість практикувати переривчасту катетеризацію;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надавати можливість застосовувати постійний катетер;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надавати можливість практикувати догляд за статевими органами;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надавати можливість практикувати локалізацію зовнішнього отвору уретри;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надавати можливість практикувати постановку клізми в бічному положенні;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надавати можливість практикувати техніку очищення та асептики;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надавати можливість практикувати введення та розміщення катетера;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надавати можливість практикувати видалення катетера;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надавати можливість практикувати ручний масаж сечового міхура;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включати: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- манекен нижньої частини тулуба – не менше 1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- блок чоловічих статевих органів – не менше 1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- клапани – не менше 3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- пляшка для промивання – не менше 1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- трубка для прямої кишки – не менше 1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- дренажні трубки для промивання – не менше 3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лубрикант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не менше 1 шт.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Наявність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D7D" w:rsidTr="008A1C8E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7D" w:rsidRDefault="009C4D7D" w:rsidP="008A1C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Тренажер для практики обстеження молочних залоз - 2 шт.</w:t>
            </w:r>
          </w:p>
        </w:tc>
      </w:tr>
      <w:tr w:rsidR="009C4D7D" w:rsidTr="008A1C8E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Повинен: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мати вигляд верхньої частини торсу жінки зі знімною реалістичною на вигляд і за текстурою шкірою та не менше ніж 2 м’якими вставками грудей;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бути встановлений в положення, яке забезпечує доступ до обох пахвових западин;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мати необхідні анатомічні орієнтири, такі як ребра, грудина та ключиці, які мають бути відчутними на дотик;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відтворювати асиметрію жіночих грудей, втягнутий сосок, втягнену шкіру;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відтворювати вигляд «апельсинової кірки» грудей із запаленням;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мати імітовані збільшені лімфатичні вузли в пахвовій та підключичній областях;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надавати можливість навчитись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пальпаторно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визначати утворення різного розміру, форми та щільності;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надавати можливість практикувати навички обстеження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самообстеження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грудей;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надавати можливість практикувати навички обстеження у положенні пацієнта лежачи на спині та у стоячому положенні пацієнта;</w:t>
            </w:r>
          </w:p>
          <w:p w:rsidR="009C4D7D" w:rsidRDefault="009C4D7D" w:rsidP="008A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включати: - тренажер – не менше ніж 1 шт.; - набір із не менше ніж 9 вставок м’яких утворень різного розміру і форми – не менше ніж 1 шт.; - набір із не менше ніж 9 вставок утворень середньої щільності різного розміру і форми – не менше ніж 1 шт.;</w:t>
            </w:r>
          </w:p>
          <w:p w:rsidR="009C4D7D" w:rsidRDefault="009C4D7D" w:rsidP="008A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набір із не менше ніж 9 вставок твердих утворень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різного розміру і форми – не менше ніж 1 шт.; - набір із не менше ніж 9 вставок утворень зі щільністю нормальної тканини різного розміру і форми – не менше ніж 1 шт.; - вставку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інвазивної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пухлини – не менше ніж 1 шт.; - флакон із порошком тальку – не менше ніж 1 шт.; - валізу для зберігання і транспортування – не менше ніж 1 шт.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Наявність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D7D" w:rsidTr="008A1C8E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Модель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внутрішньокісткового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доступу плечової кістки - 1 шт.</w:t>
            </w:r>
          </w:p>
        </w:tc>
      </w:tr>
      <w:tr w:rsidR="009C4D7D" w:rsidTr="008A1C8E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7D" w:rsidRDefault="009C4D7D" w:rsidP="008A1C8E">
            <w:pPr>
              <w:tabs>
                <w:tab w:val="center" w:pos="4819"/>
                <w:tab w:val="right" w:pos="96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Повинен:</w:t>
            </w:r>
          </w:p>
          <w:p w:rsidR="009C4D7D" w:rsidRDefault="009C4D7D" w:rsidP="008A1C8E">
            <w:pPr>
              <w:tabs>
                <w:tab w:val="center" w:pos="4819"/>
                <w:tab w:val="right" w:pos="96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мати реалістичний вигляд частини тулуба дорослої людини з рукою;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мати можливість практикувати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внутрішньокістковий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 до плечової кістки;</w:t>
            </w:r>
          </w:p>
          <w:p w:rsidR="009C4D7D" w:rsidRDefault="009C4D7D" w:rsidP="008A1C8E">
            <w:pPr>
              <w:tabs>
                <w:tab w:val="center" w:pos="4819"/>
                <w:tab w:val="right" w:pos="96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мати можливість для використання в положенні стоячи, на боці або на спині;</w:t>
            </w:r>
          </w:p>
          <w:p w:rsidR="009C4D7D" w:rsidRDefault="009C4D7D" w:rsidP="008A1C8E">
            <w:pPr>
              <w:tabs>
                <w:tab w:val="center" w:pos="4819"/>
                <w:tab w:val="right" w:pos="96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мати легкодоступний замінний відрізок кістки;</w:t>
            </w:r>
          </w:p>
          <w:p w:rsidR="009C4D7D" w:rsidRDefault="009C4D7D" w:rsidP="008A1C8E">
            <w:pPr>
              <w:tabs>
                <w:tab w:val="center" w:pos="4819"/>
                <w:tab w:val="right" w:pos="96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включати:</w:t>
            </w:r>
          </w:p>
          <w:p w:rsidR="009C4D7D" w:rsidRDefault="009C4D7D" w:rsidP="008A1C8E">
            <w:pPr>
              <w:tabs>
                <w:tab w:val="center" w:pos="4819"/>
                <w:tab w:val="right" w:pos="96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тулуб – не менше 1 шт.;</w:t>
            </w:r>
          </w:p>
          <w:p w:rsidR="009C4D7D" w:rsidRDefault="009C4D7D" w:rsidP="008A1C8E">
            <w:pPr>
              <w:tabs>
                <w:tab w:val="center" w:pos="4819"/>
                <w:tab w:val="right" w:pos="96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змінні кістки – не менше 3 шт.;</w:t>
            </w:r>
          </w:p>
          <w:p w:rsidR="009C4D7D" w:rsidRDefault="009C4D7D" w:rsidP="008A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змінні подушечки – не менше 3 шт..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D7D" w:rsidTr="008A1C8E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Дитячий повнотілий манекен реанімаційний - 1 шт.</w:t>
            </w:r>
          </w:p>
        </w:tc>
      </w:tr>
      <w:tr w:rsidR="009C4D7D" w:rsidTr="008A1C8E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повинен мати вигляд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повнорозмірного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манекена дитини не молодшої 5-7 років з головою та кінцівками;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повинен мати необхідні для практики навичок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інтубації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анатомічні орієнтири, а саме зуби, язик, носову та ротову глотку, гортань, надгортанний хрящ,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черпалоподібний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хрящ, складки присінку гортані, справжні голосові складки, трахею, стравохід, легені та шлунок;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повинен мати шкіру з не менше ніж 4 місцями для приєднання пристрою для генерації серцевих ритмів та не менше ніж 2 місцями для накладення електродів дефібрилятора;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повинен надавати можливість відтворювати набряк язика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ларингоспазм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повинен надавати можливість відтворення пульсації сонної артерії;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повинен надавати можливість практикувати оральну та назальну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інтубацію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інтубацію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пальцю;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повинен надавати можливість практикувати техніки відсмоктування;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повинен надавати можливість практикувати штучну вентиляцію легень за допомогою дихального мішка з маскою;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повинен надавати можливість практикуватись у введенні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ендотрахеальної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трубки, стравохідного обтюратора, трубки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фаринготрахеальним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просвітом,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ларингеальної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маски, стравохідно-шлункової трубки,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комбітьюбу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пристроїв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системи;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повинен надавати можливість практикувати серцево-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легеневу реанімацію;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повинен надавати можливість практикувати дефібриляцію за допомогою справжніх ручного, напівавтоматичного та автоматичного зовнішніх дефібриляторів;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повинен мати здатність поглинати енергію до 360 Дж;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повинен надавати можливість відтворювати не менше 16 дитячих серцевих ритмів та надавати можливість миттєво переходити від активного ритму до потрібного;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повинен надавати можливість спостерігати генеровані серцеві ритми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опційному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моніторі пацієнта;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повинен комплектуватись не менше ніж 1 флаконом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лубрикантом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 менше ніж 1 пристроєм для генерації серцевих ритмів, не менше ніж 1 парою імітованих лівої та правої легень.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Наявність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D7D" w:rsidTr="008A1C8E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Дорослий повнотілий манекен реанімаційний - 1 шт.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D7D" w:rsidTr="008A1C8E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повинен бути виготовлений у розмірах та пропорціях дорослої людини з головою та кінцівками;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повинен мати голову, відтворену максимально детально (зуби, язик, носоглотка,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ротоглотка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гортань, надгортанник,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черпалоподібний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хрящ, несправжні і справжні голосові зв’язки, трахея, стравохід, а також пневматичні легені та шлунок);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повинен надавати можливість імітувати западання язика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ларингоспазм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повинен мати всі необхідні анатомічні орієнтири для надання серцево-легеневої реанімації;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повинен надавати можливість практикувати висування нижньої щелепи, оральну та назальну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інтубації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введення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ендотрахеальної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трубки, стравохідного обтюратора дихальних шляхів,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глотково-трахеальної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трубки,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комбітьюбу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гортанної маски та надувної маски, практику прийому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Селліка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можливістю зміни положення трахеї і перекриття стравоходу, практику техніки відсмоктування;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повинен надавати можливість практикувати штучну вентиляцію легень дихальним мішком з маскою;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повинен надавати можливість відтворювати пульсацію сонної  артерій;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повинен надавати можливість практикувати серцево-легеневу реанімацію;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повинен мати шкіру з не менше ніж 4 місцями для приєднання пристрою для генерації серцевих ритмів та не менше ніж 2 місцями для накладення електродів дефібрилятора;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повинен надавати можливість практикувати дефібриляцію за допомогою справжніх ручного, напівавтоматичного та автоматичного зовнішніх дефібриляторів;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повинен надавати можливість імітувати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кардіоверсію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повинен мати здатність поглинати енергію до 360 Дж;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надавати можливість відтворювати не менше 16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серцевих ритмів дорослого;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повинен надавати можливість пальпувати анатомічні орієнтири для визначення місця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внутрішньокісткової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інфузії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повинен надавати можливість практикувати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внутрішньокісткові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інфузії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із застосуванням рідини та дозволяти застосування пристроїв B.I.G.TM та EZ-IOTM або аналогічних;</w:t>
            </w:r>
          </w:p>
          <w:p w:rsidR="009C4D7D" w:rsidRDefault="009C4D7D" w:rsidP="008A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повинен комплектуватись не менше ніж 1 парою імітованих лівої та правої легень, не менше ніж 1 імітованим шлунком, не менше ніж 1 флаконом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лубрикантом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 менше ніж 10 імітаціями гомілкових кісток, не менше ніж 4 шкірними вставками, не менше ніж 1 пристроєм для генерації серцевих ритмів.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Наявність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D7D" w:rsidRDefault="009C4D7D" w:rsidP="008A1C8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4D7D" w:rsidRDefault="009C4D7D" w:rsidP="009C4D7D">
      <w:pPr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C4D7D" w:rsidRPr="00474B9C" w:rsidRDefault="009C4D7D" w:rsidP="009C4D7D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C4D7D" w:rsidRPr="00474B9C" w:rsidRDefault="009C4D7D" w:rsidP="009C4D7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4D7D" w:rsidRPr="00474B9C" w:rsidRDefault="009C4D7D" w:rsidP="009C4D7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4D7D" w:rsidRPr="00474B9C" w:rsidRDefault="009C4D7D" w:rsidP="009C4D7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0D025C" w:rsidRDefault="000D025C"/>
    <w:sectPr w:rsidR="000D025C" w:rsidSect="000D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CC"/>
    <w:family w:val="auto"/>
    <w:pitch w:val="variable"/>
    <w:sig w:usb0="00000001" w:usb1="00000002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D7D"/>
    <w:rsid w:val="000D025C"/>
    <w:rsid w:val="009C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7D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 Знак"/>
    <w:link w:val="1"/>
    <w:qFormat/>
    <w:locked/>
    <w:rsid w:val="009C4D7D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"/>
    <w:qFormat/>
    <w:rsid w:val="009C4D7D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2914</Words>
  <Characters>16614</Characters>
  <Application>Microsoft Office Word</Application>
  <DocSecurity>0</DocSecurity>
  <Lines>138</Lines>
  <Paragraphs>38</Paragraphs>
  <ScaleCrop>false</ScaleCrop>
  <Company>Krokoz™</Company>
  <LinksUpToDate>false</LinksUpToDate>
  <CharactersWithSpaces>19490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1</cp:revision>
  <dcterms:created xsi:type="dcterms:W3CDTF">2023-09-15T12:39:00Z</dcterms:created>
  <dcterms:modified xsi:type="dcterms:W3CDTF">2023-09-15T12:40:00Z</dcterms:modified>
</cp:coreProperties>
</file>