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sidRPr="00FC357D">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sidRPr="00FC357D">
        <w:rPr>
          <w:rFonts w:ascii="Times New Roman" w:eastAsia="Times New Roman" w:hAnsi="Times New Roman" w:cs="Times New Roman"/>
          <w:b/>
          <w:bCs/>
          <w:sz w:val="24"/>
          <w:szCs w:val="24"/>
          <w:lang w:val="ru-RU"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12.10.2023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5A8445B0" w:rsidR="00262AB2" w:rsidRPr="00745FFD" w:rsidRDefault="00262AB2" w:rsidP="00921A30">
      <w:pPr>
        <w:pStyle w:val="Default"/>
        <w:ind w:firstLine="708"/>
        <w:jc w:val="both"/>
      </w:pPr>
      <w:r w:rsidRPr="00745FFD">
        <w:t>1.1. Постачальник зобов'язується у 202</w:t>
      </w:r>
      <w:r w:rsidR="000678DA">
        <w:rPr>
          <w:lang w:val="uk-UA"/>
        </w:rPr>
        <w:t>4</w:t>
      </w:r>
      <w:r w:rsidRPr="00745FFD">
        <w:t xml:space="preserve"> </w:t>
      </w:r>
      <w:proofErr w:type="spellStart"/>
      <w:r w:rsidRPr="00745FFD">
        <w:t>році</w:t>
      </w:r>
      <w:proofErr w:type="spellEnd"/>
      <w:r w:rsidRPr="00745FFD">
        <w:t xml:space="preserve"> </w:t>
      </w:r>
      <w:proofErr w:type="spellStart"/>
      <w:r w:rsidRPr="00745FFD">
        <w:t>поставити</w:t>
      </w:r>
      <w:proofErr w:type="spellEnd"/>
      <w:r w:rsidRPr="00745FFD">
        <w:t xml:space="preserve"> </w:t>
      </w:r>
      <w:proofErr w:type="spellStart"/>
      <w:r w:rsidRPr="00745FFD">
        <w:t>Замовнику</w:t>
      </w:r>
      <w:proofErr w:type="spellEnd"/>
      <w:r w:rsidRPr="00745FFD">
        <w:t xml:space="preserve"> товар</w:t>
      </w:r>
      <w:r w:rsidR="00AA2223">
        <w:rPr>
          <w:lang w:val="uk-UA"/>
        </w:rPr>
        <w:t>: Огірки, помідори, морква, капуста пекінська</w:t>
      </w:r>
      <w:r w:rsidRPr="00745FFD">
        <w:t xml:space="preserve"> – </w:t>
      </w:r>
      <w:r w:rsidRPr="00745FFD">
        <w:rPr>
          <w:b/>
        </w:rPr>
        <w:t xml:space="preserve">за кодом </w:t>
      </w:r>
      <w:r w:rsidRPr="00745FFD">
        <w:rPr>
          <w:b/>
          <w:lang w:eastAsia="zh-CN"/>
        </w:rPr>
        <w:t xml:space="preserve">ДК </w:t>
      </w:r>
      <w:r w:rsidRPr="000678DA">
        <w:rPr>
          <w:b/>
          <w:lang w:eastAsia="zh-CN"/>
        </w:rPr>
        <w:t>021:</w:t>
      </w:r>
      <w:r w:rsidRPr="008A0450">
        <w:rPr>
          <w:b/>
          <w:lang w:eastAsia="zh-CN"/>
        </w:rPr>
        <w:t xml:space="preserve">2015 </w:t>
      </w:r>
      <w:r w:rsidR="008A0450" w:rsidRPr="00722FF7">
        <w:rPr>
          <w:rFonts w:ascii="Arial" w:hAnsi="Arial" w:cs="Arial"/>
          <w:b/>
          <w:color w:val="454545"/>
          <w:sz w:val="21"/>
          <w:szCs w:val="21"/>
        </w:rPr>
        <w:t>1</w:t>
      </w:r>
      <w:r w:rsidR="00722FF7" w:rsidRPr="00722FF7">
        <w:rPr>
          <w:rFonts w:ascii="Arial" w:hAnsi="Arial" w:cs="Arial"/>
          <w:b/>
          <w:sz w:val="21"/>
          <w:szCs w:val="21"/>
          <w:bdr w:val="none" w:sz="0" w:space="0" w:color="auto" w:frame="1"/>
          <w:shd w:val="clear" w:color="auto" w:fill="FDFEFD"/>
        </w:rPr>
        <w:t>03220000-9</w:t>
      </w:r>
      <w:r w:rsidR="00722FF7" w:rsidRPr="00722FF7">
        <w:rPr>
          <w:rFonts w:ascii="Arial" w:hAnsi="Arial" w:cs="Arial"/>
          <w:b/>
          <w:sz w:val="21"/>
          <w:szCs w:val="21"/>
          <w:shd w:val="clear" w:color="auto" w:fill="FDFEFD"/>
        </w:rPr>
        <w:t> - </w:t>
      </w:r>
      <w:proofErr w:type="spellStart"/>
      <w:r w:rsidR="00722FF7" w:rsidRPr="00722FF7">
        <w:rPr>
          <w:rFonts w:ascii="Arial" w:hAnsi="Arial" w:cs="Arial"/>
          <w:b/>
          <w:sz w:val="21"/>
          <w:szCs w:val="21"/>
          <w:bdr w:val="none" w:sz="0" w:space="0" w:color="auto" w:frame="1"/>
          <w:shd w:val="clear" w:color="auto" w:fill="FDFEFD"/>
        </w:rPr>
        <w:t>Овочі</w:t>
      </w:r>
      <w:proofErr w:type="spellEnd"/>
      <w:r w:rsidR="00722FF7" w:rsidRPr="00722FF7">
        <w:rPr>
          <w:rFonts w:ascii="Arial" w:hAnsi="Arial" w:cs="Arial"/>
          <w:b/>
          <w:sz w:val="21"/>
          <w:szCs w:val="21"/>
          <w:bdr w:val="none" w:sz="0" w:space="0" w:color="auto" w:frame="1"/>
          <w:shd w:val="clear" w:color="auto" w:fill="FDFEFD"/>
        </w:rPr>
        <w:t xml:space="preserve">, </w:t>
      </w:r>
      <w:proofErr w:type="spellStart"/>
      <w:r w:rsidR="00722FF7" w:rsidRPr="00722FF7">
        <w:rPr>
          <w:rFonts w:ascii="Arial" w:hAnsi="Arial" w:cs="Arial"/>
          <w:b/>
          <w:sz w:val="21"/>
          <w:szCs w:val="21"/>
          <w:bdr w:val="none" w:sz="0" w:space="0" w:color="auto" w:frame="1"/>
          <w:shd w:val="clear" w:color="auto" w:fill="FDFEFD"/>
        </w:rPr>
        <w:t>фрукти</w:t>
      </w:r>
      <w:proofErr w:type="spellEnd"/>
      <w:r w:rsidR="00722FF7" w:rsidRPr="00722FF7">
        <w:rPr>
          <w:rFonts w:ascii="Arial" w:hAnsi="Arial" w:cs="Arial"/>
          <w:b/>
          <w:sz w:val="21"/>
          <w:szCs w:val="21"/>
          <w:bdr w:val="none" w:sz="0" w:space="0" w:color="auto" w:frame="1"/>
          <w:shd w:val="clear" w:color="auto" w:fill="FDFEFD"/>
        </w:rPr>
        <w:t xml:space="preserve"> та </w:t>
      </w:r>
      <w:proofErr w:type="spellStart"/>
      <w:r w:rsidR="00722FF7" w:rsidRPr="00722FF7">
        <w:rPr>
          <w:rFonts w:ascii="Arial" w:hAnsi="Arial" w:cs="Arial"/>
          <w:b/>
          <w:sz w:val="21"/>
          <w:szCs w:val="21"/>
          <w:bdr w:val="none" w:sz="0" w:space="0" w:color="auto" w:frame="1"/>
          <w:shd w:val="clear" w:color="auto" w:fill="FDFEFD"/>
        </w:rPr>
        <w:t>горіхи</w:t>
      </w:r>
      <w:proofErr w:type="spellEnd"/>
      <w:r w:rsidR="00722FF7" w:rsidRPr="008A0450">
        <w:rPr>
          <w:rFonts w:ascii="Arial" w:hAnsi="Arial" w:cs="Arial"/>
          <w:b/>
          <w:color w:val="454545"/>
          <w:sz w:val="21"/>
          <w:szCs w:val="21"/>
        </w:rPr>
        <w:t xml:space="preserve"> </w:t>
      </w:r>
      <w:r w:rsidR="008A0450" w:rsidRPr="00745FFD">
        <w:t xml:space="preserve"> </w:t>
      </w:r>
      <w:r w:rsidRPr="00745FFD">
        <w:t>(</w:t>
      </w:r>
      <w:proofErr w:type="spellStart"/>
      <w:r w:rsidRPr="00745FFD">
        <w:t>надалі</w:t>
      </w:r>
      <w:proofErr w:type="spellEnd"/>
      <w:r w:rsidRPr="00745FFD">
        <w:t xml:space="preserve"> – Товар) в </w:t>
      </w:r>
      <w:proofErr w:type="spellStart"/>
      <w:r w:rsidRPr="00745FFD">
        <w:t>асортименті</w:t>
      </w:r>
      <w:proofErr w:type="spellEnd"/>
      <w:r w:rsidRPr="00745FFD">
        <w:t xml:space="preserve"> та по </w:t>
      </w:r>
      <w:proofErr w:type="spellStart"/>
      <w:r w:rsidRPr="00745FFD">
        <w:t>ціні</w:t>
      </w:r>
      <w:proofErr w:type="spellEnd"/>
      <w:r w:rsidRPr="00745FFD">
        <w:t xml:space="preserve">, </w:t>
      </w:r>
      <w:proofErr w:type="spellStart"/>
      <w:r w:rsidRPr="00745FFD">
        <w:t>відповідно</w:t>
      </w:r>
      <w:proofErr w:type="spellEnd"/>
      <w:r w:rsidRPr="00745FFD">
        <w:t xml:space="preserve"> до </w:t>
      </w:r>
      <w:proofErr w:type="spellStart"/>
      <w:r w:rsidRPr="00745FFD">
        <w:t>специфікації</w:t>
      </w:r>
      <w:proofErr w:type="spellEnd"/>
      <w:r w:rsidRPr="00745FFD">
        <w:t xml:space="preserve"> - </w:t>
      </w:r>
      <w:proofErr w:type="spellStart"/>
      <w:r w:rsidRPr="00745FFD">
        <w:t>додатку</w:t>
      </w:r>
      <w:proofErr w:type="spellEnd"/>
      <w:r w:rsidRPr="00745FFD">
        <w:t xml:space="preserve"> №1, 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31BD0A7C"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w:t>
      </w:r>
      <w:r w:rsidR="009A0219">
        <w:rPr>
          <w:rFonts w:ascii="Times New Roman" w:hAnsi="Times New Roman" w:cs="Times New Roman"/>
          <w:sz w:val="24"/>
          <w:szCs w:val="24"/>
          <w:lang w:eastAsia="ar-SA"/>
        </w:rPr>
        <w:t>4</w:t>
      </w:r>
      <w:r w:rsidRPr="00745FFD">
        <w:rPr>
          <w:rFonts w:ascii="Times New Roman" w:hAnsi="Times New Roman" w:cs="Times New Roman"/>
          <w:sz w:val="24"/>
          <w:szCs w:val="24"/>
          <w:lang w:eastAsia="ar-SA"/>
        </w:rPr>
        <w:t xml:space="preserve">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464A2AE2"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97827"/>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4BDC"/>
    <w:rsid w:val="0057094A"/>
    <w:rsid w:val="005A4B17"/>
    <w:rsid w:val="005D7714"/>
    <w:rsid w:val="005E0BF3"/>
    <w:rsid w:val="005F3486"/>
    <w:rsid w:val="005F3953"/>
    <w:rsid w:val="00623F85"/>
    <w:rsid w:val="00631E0D"/>
    <w:rsid w:val="00637943"/>
    <w:rsid w:val="00676065"/>
    <w:rsid w:val="006772AA"/>
    <w:rsid w:val="006775A9"/>
    <w:rsid w:val="00680B5A"/>
    <w:rsid w:val="006911B7"/>
    <w:rsid w:val="006A7205"/>
    <w:rsid w:val="006B51CA"/>
    <w:rsid w:val="006D5BC3"/>
    <w:rsid w:val="006E7DBC"/>
    <w:rsid w:val="00702469"/>
    <w:rsid w:val="00707A18"/>
    <w:rsid w:val="00722FF7"/>
    <w:rsid w:val="00723857"/>
    <w:rsid w:val="00732CEC"/>
    <w:rsid w:val="00745FFD"/>
    <w:rsid w:val="007E6D65"/>
    <w:rsid w:val="00823134"/>
    <w:rsid w:val="008451C0"/>
    <w:rsid w:val="00856D7B"/>
    <w:rsid w:val="008630D4"/>
    <w:rsid w:val="008A0450"/>
    <w:rsid w:val="008B0082"/>
    <w:rsid w:val="008C197D"/>
    <w:rsid w:val="008C2424"/>
    <w:rsid w:val="008F6A95"/>
    <w:rsid w:val="0091043D"/>
    <w:rsid w:val="00921A30"/>
    <w:rsid w:val="009422AA"/>
    <w:rsid w:val="00971A6D"/>
    <w:rsid w:val="009858D0"/>
    <w:rsid w:val="009A0219"/>
    <w:rsid w:val="009B3C96"/>
    <w:rsid w:val="009F1543"/>
    <w:rsid w:val="00A2568A"/>
    <w:rsid w:val="00A26EC3"/>
    <w:rsid w:val="00A605C0"/>
    <w:rsid w:val="00AA2223"/>
    <w:rsid w:val="00AB5AF5"/>
    <w:rsid w:val="00AD5363"/>
    <w:rsid w:val="00AE090C"/>
    <w:rsid w:val="00B170D6"/>
    <w:rsid w:val="00B31AF6"/>
    <w:rsid w:val="00B67087"/>
    <w:rsid w:val="00B8156A"/>
    <w:rsid w:val="00BA77F4"/>
    <w:rsid w:val="00BB5CED"/>
    <w:rsid w:val="00BE348F"/>
    <w:rsid w:val="00BF737C"/>
    <w:rsid w:val="00C143C9"/>
    <w:rsid w:val="00C274EB"/>
    <w:rsid w:val="00CE1028"/>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357D"/>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294561552">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7</cp:revision>
  <cp:lastPrinted>2024-01-01T09:31:00Z</cp:lastPrinted>
  <dcterms:created xsi:type="dcterms:W3CDTF">2024-01-01T14:12:00Z</dcterms:created>
  <dcterms:modified xsi:type="dcterms:W3CDTF">2024-04-24T09:04:00Z</dcterms:modified>
</cp:coreProperties>
</file>