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3C" w:rsidRDefault="00C5123C" w:rsidP="00C5123C">
      <w:pPr>
        <w:ind w:left="8496" w:hanging="274"/>
        <w:jc w:val="both"/>
        <w:rPr>
          <w:rFonts w:ascii="Times New Roman" w:hAnsi="Times New Roman"/>
          <w:b/>
          <w:sz w:val="24"/>
          <w:szCs w:val="24"/>
        </w:rPr>
      </w:pPr>
      <w:r>
        <w:rPr>
          <w:rFonts w:ascii="Times New Roman" w:hAnsi="Times New Roman"/>
          <w:b/>
          <w:sz w:val="24"/>
          <w:szCs w:val="24"/>
        </w:rPr>
        <w:t>ДОДАТОК 1</w:t>
      </w:r>
    </w:p>
    <w:p w:rsidR="00C5123C" w:rsidRDefault="00C5123C" w:rsidP="00C5123C">
      <w:pPr>
        <w:shd w:val="clear" w:color="auto" w:fill="FFFFFF"/>
        <w:ind w:firstLine="450"/>
        <w:jc w:val="right"/>
        <w:textAlignment w:val="baseline"/>
        <w:rPr>
          <w:rFonts w:ascii="Times New Roman" w:hAnsi="Times New Roman"/>
          <w:i/>
          <w:color w:val="000000"/>
          <w:bdr w:val="none" w:sz="0" w:space="0" w:color="auto" w:frame="1"/>
        </w:rPr>
      </w:pPr>
    </w:p>
    <w:p w:rsidR="00C5123C" w:rsidRDefault="00C5123C" w:rsidP="00C5123C">
      <w:pPr>
        <w:ind w:firstLine="284"/>
        <w:jc w:val="both"/>
        <w:rPr>
          <w:rFonts w:ascii="Times New Roman" w:hAnsi="Times New Roman"/>
        </w:rPr>
      </w:pPr>
    </w:p>
    <w:p w:rsidR="00C5123C" w:rsidRDefault="00C5123C" w:rsidP="00C5123C">
      <w:pPr>
        <w:ind w:firstLine="284"/>
        <w:jc w:val="center"/>
        <w:rPr>
          <w:rFonts w:ascii="Times New Roman" w:hAnsi="Times New Roman"/>
          <w:b/>
          <w:i/>
          <w:sz w:val="24"/>
          <w:szCs w:val="24"/>
        </w:rPr>
      </w:pPr>
      <w:r>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C5123C" w:rsidRDefault="00C5123C" w:rsidP="00C5123C">
      <w:pPr>
        <w:widowControl w:val="0"/>
        <w:tabs>
          <w:tab w:val="left" w:pos="1080"/>
        </w:tabs>
        <w:jc w:val="both"/>
        <w:rPr>
          <w:rFonts w:ascii="Times New Roman" w:hAnsi="Times New Roman"/>
          <w:sz w:val="24"/>
          <w:szCs w:val="24"/>
        </w:rPr>
      </w:pPr>
    </w:p>
    <w:p w:rsidR="00C5123C" w:rsidRDefault="00C5123C" w:rsidP="00C5123C">
      <w:pPr>
        <w:widowControl w:val="0"/>
        <w:tabs>
          <w:tab w:val="left" w:pos="1080"/>
        </w:tabs>
        <w:ind w:firstLine="567"/>
        <w:jc w:val="both"/>
        <w:rPr>
          <w:rFonts w:ascii="Times New Roman" w:hAnsi="Times New Roman"/>
          <w:sz w:val="24"/>
          <w:szCs w:val="24"/>
        </w:rPr>
      </w:pPr>
      <w:r>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ч. 2 ст. 16 Закону:</w:t>
      </w:r>
    </w:p>
    <w:p w:rsidR="00C5123C" w:rsidRDefault="00C5123C" w:rsidP="00C5123C">
      <w:pPr>
        <w:widowControl w:val="0"/>
        <w:tabs>
          <w:tab w:val="left" w:pos="1080"/>
        </w:tabs>
        <w:jc w:val="both"/>
        <w:rPr>
          <w:rFonts w:ascii="Times New Roman" w:hAnsi="Times New Roman"/>
          <w:sz w:val="24"/>
          <w:szCs w:val="24"/>
        </w:rPr>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288"/>
      </w:tblGrid>
      <w:tr w:rsidR="00C5123C" w:rsidRPr="00C80752" w:rsidTr="00D85DFF">
        <w:tc>
          <w:tcPr>
            <w:tcW w:w="3635" w:type="dxa"/>
            <w:tcBorders>
              <w:top w:val="single" w:sz="4" w:space="0" w:color="000001"/>
              <w:left w:val="single" w:sz="4" w:space="0" w:color="000001"/>
              <w:bottom w:val="single" w:sz="4" w:space="0" w:color="000001"/>
              <w:right w:val="nil"/>
            </w:tcBorders>
            <w:vAlign w:val="center"/>
            <w:hideMark/>
          </w:tcPr>
          <w:p w:rsidR="00C5123C" w:rsidRDefault="00C5123C" w:rsidP="00D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r>
              <w:rPr>
                <w:rFonts w:ascii="Times New Roman" w:hAnsi="Times New Roman"/>
                <w:b/>
                <w:sz w:val="24"/>
                <w:szCs w:val="24"/>
              </w:rPr>
              <w:t xml:space="preserve">Кваліфікаційні критерії, встановлені відповідно до </w:t>
            </w:r>
          </w:p>
          <w:p w:rsidR="00C5123C" w:rsidRDefault="00C5123C" w:rsidP="00D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r>
              <w:rPr>
                <w:rFonts w:ascii="Times New Roman" w:hAnsi="Times New Roman"/>
                <w:b/>
                <w:sz w:val="24"/>
                <w:szCs w:val="24"/>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rsidR="00C5123C" w:rsidRDefault="00C5123C" w:rsidP="00D85DFF">
            <w:pPr>
              <w:suppressAutoHyphens/>
              <w:jc w:val="center"/>
              <w:rPr>
                <w:rFonts w:ascii="Times New Roman" w:hAnsi="Times New Roman"/>
                <w:b/>
                <w:sz w:val="24"/>
                <w:szCs w:val="24"/>
              </w:rPr>
            </w:pPr>
            <w:r>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F61C24" w:rsidRPr="00C80752" w:rsidTr="00E956A1">
        <w:trPr>
          <w:trHeight w:val="4702"/>
        </w:trPr>
        <w:tc>
          <w:tcPr>
            <w:tcW w:w="3635" w:type="dxa"/>
            <w:tcBorders>
              <w:top w:val="single" w:sz="4" w:space="0" w:color="000001"/>
              <w:left w:val="single" w:sz="4" w:space="0" w:color="000001"/>
              <w:bottom w:val="single" w:sz="4" w:space="0" w:color="auto"/>
              <w:right w:val="nil"/>
            </w:tcBorders>
          </w:tcPr>
          <w:p w:rsidR="00F61C24" w:rsidRPr="00046302" w:rsidRDefault="00F61C24" w:rsidP="00F6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lang w:val="ru-RU"/>
              </w:rPr>
              <w:t>1</w:t>
            </w:r>
            <w:r w:rsidRPr="00046302">
              <w:rPr>
                <w:rFonts w:ascii="Times New Roman" w:hAnsi="Times New Roman"/>
                <w:sz w:val="24"/>
                <w:szCs w:val="24"/>
              </w:rPr>
              <w:t>. Наявність документально підтвердженого досвіду виконання аналогічного договору.</w:t>
            </w:r>
          </w:p>
        </w:tc>
        <w:tc>
          <w:tcPr>
            <w:tcW w:w="6288" w:type="dxa"/>
            <w:tcBorders>
              <w:top w:val="single" w:sz="4" w:space="0" w:color="000001"/>
              <w:left w:val="single" w:sz="4" w:space="0" w:color="000001"/>
              <w:bottom w:val="single" w:sz="4" w:space="0" w:color="auto"/>
              <w:right w:val="single" w:sz="4" w:space="0" w:color="000001"/>
            </w:tcBorders>
          </w:tcPr>
          <w:p w:rsidR="00F61C24" w:rsidRPr="002C5968" w:rsidRDefault="00F61C24" w:rsidP="00F61C24">
            <w:pPr>
              <w:suppressAutoHyphens/>
              <w:jc w:val="both"/>
              <w:rPr>
                <w:rFonts w:ascii="Times New Roman" w:hAnsi="Times New Roman"/>
                <w:bCs/>
                <w:sz w:val="24"/>
                <w:szCs w:val="24"/>
              </w:rPr>
            </w:pPr>
            <w:r w:rsidRPr="00EC2E46">
              <w:rPr>
                <w:rFonts w:ascii="Times New Roman" w:hAnsi="Times New Roman"/>
                <w:bCs/>
                <w:sz w:val="24"/>
                <w:szCs w:val="24"/>
              </w:rPr>
              <w:t xml:space="preserve">Аналогічним договором є договір, у якому предметом договору є </w:t>
            </w:r>
            <w:r w:rsidRPr="002C5968">
              <w:rPr>
                <w:rFonts w:ascii="Times New Roman" w:hAnsi="Times New Roman"/>
                <w:bCs/>
                <w:sz w:val="24"/>
                <w:szCs w:val="24"/>
              </w:rPr>
              <w:t xml:space="preserve">поставка </w:t>
            </w:r>
            <w:r>
              <w:rPr>
                <w:rFonts w:ascii="Times New Roman" w:hAnsi="Times New Roman"/>
                <w:bCs/>
                <w:sz w:val="24"/>
                <w:szCs w:val="24"/>
              </w:rPr>
              <w:t xml:space="preserve">товару </w:t>
            </w:r>
            <w:r w:rsidRPr="002C5968">
              <w:rPr>
                <w:rFonts w:ascii="Times New Roman" w:hAnsi="Times New Roman"/>
                <w:bCs/>
                <w:sz w:val="24"/>
                <w:szCs w:val="24"/>
                <w:lang w:val="ru-RU"/>
              </w:rPr>
              <w:t xml:space="preserve">протягом </w:t>
            </w:r>
            <w:r w:rsidR="006A5A5C">
              <w:rPr>
                <w:rFonts w:ascii="Times New Roman" w:hAnsi="Times New Roman"/>
                <w:bCs/>
                <w:sz w:val="24"/>
                <w:szCs w:val="24"/>
              </w:rPr>
              <w:t>2020</w:t>
            </w:r>
            <w:r w:rsidRPr="002C5968">
              <w:rPr>
                <w:rFonts w:ascii="Times New Roman" w:hAnsi="Times New Roman"/>
                <w:bCs/>
                <w:sz w:val="24"/>
                <w:szCs w:val="24"/>
              </w:rPr>
              <w:t>-20</w:t>
            </w:r>
            <w:r>
              <w:rPr>
                <w:rFonts w:ascii="Times New Roman" w:hAnsi="Times New Roman"/>
                <w:bCs/>
                <w:sz w:val="24"/>
                <w:szCs w:val="24"/>
              </w:rPr>
              <w:t>2</w:t>
            </w:r>
            <w:r w:rsidR="006A5A5C">
              <w:rPr>
                <w:rFonts w:ascii="Times New Roman" w:hAnsi="Times New Roman"/>
                <w:bCs/>
                <w:sz w:val="24"/>
                <w:szCs w:val="24"/>
              </w:rPr>
              <w:t>2</w:t>
            </w:r>
            <w:r w:rsidRPr="002C5968">
              <w:rPr>
                <w:rFonts w:ascii="Times New Roman" w:hAnsi="Times New Roman"/>
                <w:bCs/>
                <w:sz w:val="24"/>
                <w:szCs w:val="24"/>
              </w:rPr>
              <w:t xml:space="preserve"> років, </w:t>
            </w:r>
            <w:r w:rsidRPr="002C5968">
              <w:rPr>
                <w:rFonts w:ascii="Times New Roman" w:hAnsi="Times New Roman"/>
                <w:sz w:val="24"/>
                <w:szCs w:val="24"/>
              </w:rPr>
              <w:t>за будь-який рік (роки) у вказаному вище періоді.</w:t>
            </w:r>
          </w:p>
          <w:p w:rsidR="00F61C24" w:rsidRDefault="00F61C24" w:rsidP="00F61C24">
            <w:pPr>
              <w:suppressAutoHyphens/>
              <w:jc w:val="both"/>
              <w:rPr>
                <w:rFonts w:ascii="Times New Roman" w:hAnsi="Times New Roman"/>
                <w:bCs/>
                <w:sz w:val="24"/>
                <w:szCs w:val="24"/>
              </w:rPr>
            </w:pPr>
            <w:r w:rsidRPr="002C5968">
              <w:rPr>
                <w:rFonts w:ascii="Times New Roman" w:hAnsi="Times New Roman"/>
                <w:bCs/>
                <w:sz w:val="24"/>
                <w:szCs w:val="24"/>
              </w:rPr>
              <w:t>Для підтвердження виконання аналогічного</w:t>
            </w:r>
            <w:r w:rsidRPr="00F31CA9">
              <w:rPr>
                <w:rFonts w:ascii="Times New Roman" w:hAnsi="Times New Roman"/>
                <w:bCs/>
                <w:sz w:val="24"/>
                <w:szCs w:val="24"/>
              </w:rPr>
              <w:t xml:space="preserve"> договору учасник у складі тендерної пропозиції повинен надати догов</w:t>
            </w:r>
            <w:r>
              <w:rPr>
                <w:rFonts w:ascii="Times New Roman" w:hAnsi="Times New Roman"/>
                <w:bCs/>
                <w:sz w:val="24"/>
                <w:szCs w:val="24"/>
              </w:rPr>
              <w:t>і</w:t>
            </w:r>
            <w:r w:rsidRPr="00F31CA9">
              <w:rPr>
                <w:rFonts w:ascii="Times New Roman" w:hAnsi="Times New Roman"/>
                <w:bCs/>
                <w:sz w:val="24"/>
                <w:szCs w:val="24"/>
              </w:rPr>
              <w:t xml:space="preserve">р, </w:t>
            </w:r>
            <w:r w:rsidRPr="001623FC">
              <w:rPr>
                <w:rFonts w:ascii="Times New Roman" w:hAnsi="Times New Roman"/>
                <w:bCs/>
                <w:sz w:val="24"/>
                <w:szCs w:val="24"/>
              </w:rPr>
              <w:t xml:space="preserve">та </w:t>
            </w:r>
            <w:r w:rsidRPr="00055BEA">
              <w:rPr>
                <w:rFonts w:ascii="Times New Roman" w:hAnsi="Times New Roman"/>
                <w:bCs/>
                <w:sz w:val="24"/>
                <w:szCs w:val="24"/>
              </w:rPr>
              <w:t>акти прийомки</w:t>
            </w:r>
            <w:r w:rsidRPr="00581886">
              <w:rPr>
                <w:rFonts w:ascii="Times New Roman" w:hAnsi="Times New Roman"/>
                <w:bCs/>
                <w:sz w:val="24"/>
                <w:szCs w:val="24"/>
              </w:rPr>
              <w:t>-</w:t>
            </w:r>
            <w:r w:rsidRPr="001623FC">
              <w:rPr>
                <w:rFonts w:ascii="Times New Roman" w:hAnsi="Times New Roman"/>
                <w:bCs/>
                <w:sz w:val="24"/>
                <w:szCs w:val="24"/>
              </w:rPr>
              <w:t>передачі товарів, що підтверджують факт передачі майна, т</w:t>
            </w:r>
            <w:r w:rsidRPr="00F31CA9">
              <w:rPr>
                <w:rFonts w:ascii="Times New Roman" w:hAnsi="Times New Roman"/>
                <w:bCs/>
                <w:sz w:val="24"/>
                <w:szCs w:val="24"/>
              </w:rPr>
              <w:t>а оригінал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rsidR="00F61C24" w:rsidRDefault="00F61C24" w:rsidP="00F61C24">
            <w:pPr>
              <w:suppressAutoHyphens/>
              <w:jc w:val="both"/>
              <w:rPr>
                <w:rFonts w:ascii="Times New Roman" w:hAnsi="Times New Roman"/>
                <w:bCs/>
                <w:sz w:val="24"/>
                <w:szCs w:val="24"/>
              </w:rPr>
            </w:pPr>
          </w:p>
          <w:p w:rsidR="00F61C24" w:rsidRDefault="00F61C24" w:rsidP="00F61C24">
            <w:pPr>
              <w:suppressAutoHyphens/>
              <w:jc w:val="both"/>
              <w:rPr>
                <w:rFonts w:ascii="Times New Roman" w:hAnsi="Times New Roman"/>
                <w:bCs/>
                <w:i/>
                <w:sz w:val="24"/>
                <w:szCs w:val="24"/>
              </w:rPr>
            </w:pPr>
            <w:r w:rsidRPr="00876AAC">
              <w:rPr>
                <w:rFonts w:ascii="Times New Roman" w:hAnsi="Times New Roman"/>
                <w:b/>
                <w:bCs/>
                <w:i/>
                <w:sz w:val="24"/>
                <w:szCs w:val="24"/>
              </w:rPr>
              <w:t>Примітка</w:t>
            </w:r>
            <w:r w:rsidRPr="00876AAC">
              <w:rPr>
                <w:rFonts w:ascii="Times New Roman" w:hAnsi="Times New Roman"/>
                <w:bCs/>
                <w:i/>
                <w:sz w:val="24"/>
                <w:szCs w:val="24"/>
              </w:rPr>
              <w:t>, учасник повинен підтвердити, що аналогічний договір виконано в повному обсязі.</w:t>
            </w:r>
            <w:r>
              <w:rPr>
                <w:rFonts w:ascii="Times New Roman" w:hAnsi="Times New Roman"/>
                <w:bCs/>
                <w:i/>
                <w:sz w:val="24"/>
                <w:szCs w:val="24"/>
              </w:rPr>
              <w:t xml:space="preserve"> </w:t>
            </w:r>
          </w:p>
          <w:p w:rsidR="00F61C24" w:rsidRDefault="00F61C24" w:rsidP="00F61C24">
            <w:pPr>
              <w:suppressAutoHyphens/>
              <w:jc w:val="both"/>
              <w:rPr>
                <w:rFonts w:ascii="Times New Roman" w:hAnsi="Times New Roman"/>
                <w:bCs/>
                <w:i/>
                <w:sz w:val="24"/>
                <w:szCs w:val="24"/>
              </w:rPr>
            </w:pPr>
            <w:r>
              <w:rPr>
                <w:rFonts w:ascii="Times New Roman" w:hAnsi="Times New Roman"/>
                <w:bCs/>
                <w:i/>
                <w:sz w:val="24"/>
                <w:szCs w:val="24"/>
              </w:rPr>
              <w:t xml:space="preserve">Документи зазначені в пунктах 1-3 цього додатку повинні бути </w:t>
            </w:r>
            <w:proofErr w:type="spellStart"/>
            <w:r>
              <w:rPr>
                <w:rFonts w:ascii="Times New Roman" w:hAnsi="Times New Roman"/>
                <w:bCs/>
                <w:i/>
                <w:sz w:val="24"/>
                <w:szCs w:val="24"/>
              </w:rPr>
              <w:t>відскановані</w:t>
            </w:r>
            <w:proofErr w:type="spellEnd"/>
            <w:r>
              <w:rPr>
                <w:rFonts w:ascii="Times New Roman" w:hAnsi="Times New Roman"/>
                <w:bCs/>
                <w:i/>
                <w:sz w:val="24"/>
                <w:szCs w:val="24"/>
              </w:rPr>
              <w:t xml:space="preserve"> з оригіналів.</w:t>
            </w:r>
          </w:p>
          <w:p w:rsidR="00E956A1" w:rsidRPr="00876AAC" w:rsidRDefault="00E956A1" w:rsidP="00E956A1">
            <w:pPr>
              <w:suppressAutoHyphens/>
              <w:jc w:val="both"/>
              <w:rPr>
                <w:rFonts w:ascii="Times New Roman" w:hAnsi="Times New Roman"/>
                <w:i/>
                <w:sz w:val="24"/>
                <w:szCs w:val="24"/>
              </w:rPr>
            </w:pPr>
          </w:p>
        </w:tc>
      </w:tr>
      <w:tr w:rsidR="00E956A1" w:rsidRPr="00C80752" w:rsidTr="00E956A1">
        <w:trPr>
          <w:trHeight w:val="336"/>
        </w:trPr>
        <w:tc>
          <w:tcPr>
            <w:tcW w:w="3635" w:type="dxa"/>
            <w:tcBorders>
              <w:top w:val="single" w:sz="4" w:space="0" w:color="auto"/>
              <w:left w:val="single" w:sz="4" w:space="0" w:color="000001"/>
              <w:bottom w:val="single" w:sz="4" w:space="0" w:color="auto"/>
              <w:right w:val="nil"/>
            </w:tcBorders>
          </w:tcPr>
          <w:p w:rsidR="00E956A1" w:rsidRDefault="00E956A1" w:rsidP="00F6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ru-RU"/>
              </w:rPr>
            </w:pPr>
            <w:r>
              <w:rPr>
                <w:rFonts w:ascii="Times New Roman" w:hAnsi="Times New Roman"/>
                <w:i/>
                <w:sz w:val="24"/>
                <w:szCs w:val="24"/>
              </w:rPr>
              <w:t xml:space="preserve">2. </w:t>
            </w:r>
            <w:r w:rsidRPr="00E956A1">
              <w:rPr>
                <w:rFonts w:ascii="Times New Roman" w:hAnsi="Times New Roman"/>
                <w:i/>
                <w:sz w:val="24"/>
                <w:szCs w:val="24"/>
              </w:rPr>
              <w:t>Наявність обладнання, матеріально-технічної бази та технологій</w:t>
            </w:r>
          </w:p>
        </w:tc>
        <w:tc>
          <w:tcPr>
            <w:tcW w:w="6288" w:type="dxa"/>
            <w:tcBorders>
              <w:top w:val="single" w:sz="4" w:space="0" w:color="auto"/>
              <w:left w:val="single" w:sz="4" w:space="0" w:color="000001"/>
              <w:bottom w:val="single" w:sz="4" w:space="0" w:color="auto"/>
              <w:right w:val="single" w:sz="4" w:space="0" w:color="000001"/>
            </w:tcBorders>
          </w:tcPr>
          <w:p w:rsidR="00E956A1" w:rsidRPr="00EC2E46" w:rsidRDefault="00E956A1" w:rsidP="00E956A1">
            <w:pPr>
              <w:suppressAutoHyphens/>
              <w:jc w:val="both"/>
              <w:rPr>
                <w:rFonts w:ascii="Times New Roman" w:hAnsi="Times New Roman"/>
                <w:bCs/>
                <w:sz w:val="24"/>
                <w:szCs w:val="24"/>
              </w:rPr>
            </w:pPr>
            <w:r w:rsidRPr="00E956A1">
              <w:rPr>
                <w:rFonts w:ascii="Times New Roman" w:hAnsi="Times New Roman"/>
                <w:i/>
                <w:sz w:val="24"/>
                <w:szCs w:val="24"/>
              </w:rPr>
              <w:t>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w:t>
            </w:r>
          </w:p>
        </w:tc>
      </w:tr>
      <w:tr w:rsidR="00E956A1" w:rsidRPr="00C80752" w:rsidTr="00E956A1">
        <w:trPr>
          <w:trHeight w:val="1908"/>
        </w:trPr>
        <w:tc>
          <w:tcPr>
            <w:tcW w:w="3635" w:type="dxa"/>
            <w:tcBorders>
              <w:top w:val="single" w:sz="4" w:space="0" w:color="auto"/>
              <w:left w:val="single" w:sz="4" w:space="0" w:color="000001"/>
              <w:bottom w:val="single" w:sz="4" w:space="0" w:color="000001"/>
              <w:right w:val="nil"/>
            </w:tcBorders>
          </w:tcPr>
          <w:p w:rsidR="00E956A1" w:rsidRPr="00E956A1" w:rsidRDefault="00E956A1" w:rsidP="00F6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i/>
                <w:sz w:val="24"/>
                <w:szCs w:val="24"/>
              </w:rPr>
              <w:t>3.</w:t>
            </w:r>
            <w:r w:rsidRPr="00E956A1">
              <w:rPr>
                <w:rFonts w:ascii="Times New Roman" w:hAnsi="Times New Roman"/>
                <w:i/>
                <w:sz w:val="24"/>
                <w:szCs w:val="24"/>
              </w:rPr>
              <w:t xml:space="preserve"> Наявність в учасника процедури закупівлі працівників відповідної кваліфікації, які мають необхідні знання та </w:t>
            </w:r>
            <w:proofErr w:type="spellStart"/>
            <w:r w:rsidRPr="00E956A1">
              <w:rPr>
                <w:rFonts w:ascii="Times New Roman" w:hAnsi="Times New Roman"/>
                <w:i/>
                <w:sz w:val="24"/>
                <w:szCs w:val="24"/>
              </w:rPr>
              <w:t>досві</w:t>
            </w:r>
            <w:proofErr w:type="spellEnd"/>
          </w:p>
        </w:tc>
        <w:tc>
          <w:tcPr>
            <w:tcW w:w="6288" w:type="dxa"/>
            <w:tcBorders>
              <w:top w:val="single" w:sz="4" w:space="0" w:color="auto"/>
              <w:left w:val="single" w:sz="4" w:space="0" w:color="000001"/>
              <w:bottom w:val="single" w:sz="4" w:space="0" w:color="000001"/>
              <w:right w:val="single" w:sz="4" w:space="0" w:color="000001"/>
            </w:tcBorders>
          </w:tcPr>
          <w:p w:rsidR="00E956A1" w:rsidRPr="00EC2E46" w:rsidRDefault="00E956A1" w:rsidP="00E956A1">
            <w:pPr>
              <w:suppressAutoHyphens/>
              <w:jc w:val="both"/>
              <w:rPr>
                <w:rFonts w:ascii="Times New Roman" w:hAnsi="Times New Roman"/>
                <w:bCs/>
                <w:sz w:val="24"/>
                <w:szCs w:val="24"/>
              </w:rPr>
            </w:pPr>
            <w:r w:rsidRPr="00E956A1">
              <w:rPr>
                <w:rFonts w:ascii="Times New Roman" w:hAnsi="Times New Roman"/>
                <w:i/>
                <w:sz w:val="24"/>
                <w:szCs w:val="24"/>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C5123C" w:rsidRPr="008A45F8" w:rsidRDefault="00C5123C" w:rsidP="00C5123C">
      <w:pPr>
        <w:shd w:val="clear" w:color="auto" w:fill="FFFFFF"/>
        <w:ind w:right="23"/>
        <w:rPr>
          <w:rFonts w:ascii="Times New Roman" w:hAnsi="Times New Roman" w:cs="Times New Roman"/>
          <w:b/>
          <w:color w:val="000000"/>
          <w:sz w:val="24"/>
          <w:szCs w:val="24"/>
        </w:rPr>
      </w:pPr>
    </w:p>
    <w:p w:rsidR="00527A54" w:rsidRDefault="00C5123C" w:rsidP="00C5123C">
      <w:pPr>
        <w:rPr>
          <w:rFonts w:ascii="Times New Roman" w:hAnsi="Times New Roman" w:cs="Times New Roman"/>
          <w:color w:val="000000"/>
          <w:sz w:val="24"/>
          <w:szCs w:val="24"/>
        </w:rPr>
      </w:pPr>
      <w:r w:rsidRPr="008A45F8">
        <w:rPr>
          <w:rFonts w:ascii="Times New Roman" w:hAnsi="Times New Roman" w:cs="Times New Roman"/>
          <w:color w:val="000000"/>
          <w:sz w:val="24"/>
          <w:szCs w:val="24"/>
        </w:rPr>
        <w:t>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економічних та інших обмежувальних заходів (санкцій)» .</w:t>
      </w:r>
    </w:p>
    <w:p w:rsidR="00FF5A42" w:rsidRDefault="00FF5A42" w:rsidP="00C5123C">
      <w:pPr>
        <w:rPr>
          <w:rFonts w:ascii="Times New Roman" w:hAnsi="Times New Roman" w:cs="Times New Roman"/>
          <w:color w:val="000000"/>
          <w:sz w:val="24"/>
          <w:szCs w:val="24"/>
        </w:rPr>
      </w:pPr>
    </w:p>
    <w:p w:rsidR="00FF5A42" w:rsidRDefault="00FF5A42" w:rsidP="00C5123C">
      <w:pPr>
        <w:rPr>
          <w:rFonts w:ascii="Times New Roman" w:hAnsi="Times New Roman" w:cs="Times New Roman"/>
          <w:color w:val="000000"/>
          <w:sz w:val="24"/>
          <w:szCs w:val="24"/>
        </w:rPr>
      </w:pPr>
    </w:p>
    <w:p w:rsidR="00FF5A42" w:rsidRDefault="00FF5A42" w:rsidP="00FF5A42">
      <w:pPr>
        <w:jc w:val="center"/>
        <w:rPr>
          <w:rFonts w:ascii="Times New Roman" w:hAnsi="Times New Roman" w:cs="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1281" w:type="dxa"/>
        <w:tblLook w:val="04A0" w:firstRow="1" w:lastRow="0" w:firstColumn="1" w:lastColumn="0" w:noHBand="0" w:noVBand="1"/>
      </w:tblPr>
      <w:tblGrid>
        <w:gridCol w:w="563"/>
        <w:gridCol w:w="3548"/>
        <w:gridCol w:w="2977"/>
        <w:gridCol w:w="3686"/>
      </w:tblGrid>
      <w:tr w:rsidR="00FF5A42" w:rsidTr="00FF5A42">
        <w:tc>
          <w:tcPr>
            <w:tcW w:w="563" w:type="dxa"/>
            <w:tcBorders>
              <w:top w:val="single" w:sz="4" w:space="0" w:color="000000"/>
              <w:left w:val="single" w:sz="4" w:space="0" w:color="000000"/>
              <w:bottom w:val="single" w:sz="4" w:space="0" w:color="000000"/>
              <w:right w:val="single" w:sz="4" w:space="0" w:color="000000"/>
            </w:tcBorders>
            <w:vAlign w:val="center"/>
            <w:hideMark/>
          </w:tcPr>
          <w:p w:rsidR="00FF5A42" w:rsidRDefault="00FF5A42">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FF5A42" w:rsidRDefault="00FF5A42">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F5A42" w:rsidRDefault="00FF5A42">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F5A42" w:rsidRDefault="00FF5A42">
            <w:pPr>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eastAsia="ru-RU"/>
              </w:rPr>
              <w:t>закупівель</w:t>
            </w:r>
            <w:proofErr w:type="spellEnd"/>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lastRenderedPageBreak/>
              <w:t xml:space="preserve">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eastAsia="ru-RU"/>
              </w:rPr>
              <w:t>закупівель</w:t>
            </w:r>
            <w:proofErr w:type="spellEnd"/>
            <w:r>
              <w:rPr>
                <w:rFonts w:ascii="Times New Roman" w:eastAsia="Times New Roman" w:hAnsi="Times New Roman"/>
                <w:b/>
                <w:bCs/>
                <w:sz w:val="24"/>
                <w:szCs w:val="24"/>
                <w:lang w:eastAsia="ru-RU"/>
              </w:rPr>
              <w:t>:</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eastAsia="ru-RU"/>
              </w:rPr>
              <w:t>внесено</w:t>
            </w:r>
            <w:proofErr w:type="spellEnd"/>
            <w:r>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Pr>
                <w:rFonts w:ascii="Times New Roman" w:eastAsia="Times New Roman" w:hAnsi="Times New Roman"/>
                <w:sz w:val="24"/>
                <w:szCs w:val="24"/>
                <w:shd w:val="clear" w:color="auto" w:fill="FFFFFF"/>
                <w:lang w:eastAsia="ru-RU"/>
              </w:rPr>
              <w:t>внесено</w:t>
            </w:r>
            <w:proofErr w:type="spellEnd"/>
            <w:r>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lang w:eastAsia="ru-RU"/>
              </w:rPr>
              <w:t>.</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sz w:val="24"/>
                <w:szCs w:val="24"/>
                <w:shd w:val="clear" w:color="auto" w:fill="FFFFFF"/>
                <w:lang w:eastAsia="ru-RU"/>
              </w:rPr>
              <w:lastRenderedPageBreak/>
              <w:t>пов’язаного з корупцією (</w:t>
            </w:r>
            <w:r>
              <w:rPr>
                <w:rFonts w:ascii="Times New Roman" w:eastAsia="Times New Roman" w:hAnsi="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Pr>
                <w:rFonts w:ascii="Times New Roman" w:eastAsia="Times New Roman" w:hAnsi="Times New Roman"/>
                <w:sz w:val="24"/>
                <w:szCs w:val="24"/>
                <w:lang w:eastAsia="ru-RU"/>
              </w:rPr>
              <w:lastRenderedPageBreak/>
              <w:t xml:space="preserve">вчинили корупційні правопорушення  про те, що </w:t>
            </w:r>
            <w:r>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Pr>
                  <w:rStyle w:val="a3"/>
                  <w:rFonts w:ascii="Times New Roman" w:eastAsia="Times New Roman" w:hAnsi="Times New Roman"/>
                  <w:color w:val="auto"/>
                  <w:sz w:val="24"/>
                  <w:szCs w:val="24"/>
                  <w:u w:val="none"/>
                  <w:shd w:val="clear" w:color="auto" w:fill="FFFFFF"/>
                  <w:lang w:eastAsia="ru-RU"/>
                </w:rPr>
                <w:t>пунктом 1 статті 50</w:t>
              </w:r>
            </w:hyperlink>
            <w:r>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судимості не має та в розшуку не перебуває.</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Pr>
                <w:rFonts w:ascii="Times New Roman" w:eastAsia="Times New Roman" w:hAnsi="Times New Roman"/>
                <w:sz w:val="24"/>
                <w:szCs w:val="24"/>
                <w:shd w:val="clear" w:color="auto" w:fill="FFFFFF"/>
                <w:lang w:eastAsia="ru-RU"/>
              </w:rPr>
              <w:lastRenderedPageBreak/>
              <w:t>у встановленому законом порядку (</w:t>
            </w:r>
            <w:r>
              <w:rPr>
                <w:rFonts w:ascii="Times New Roman" w:eastAsia="Times New Roman" w:hAnsi="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w:t>
            </w:r>
            <w:r>
              <w:rPr>
                <w:rFonts w:ascii="Times New Roman" w:eastAsia="Times New Roman" w:hAnsi="Times New Roman"/>
                <w:sz w:val="24"/>
                <w:szCs w:val="24"/>
                <w:lang w:eastAsia="ru-RU"/>
              </w:rPr>
              <w:lastRenderedPageBreak/>
              <w:t>судимості не має та в розшуку не перебуває.</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sz w:val="24"/>
                <w:szCs w:val="24"/>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lang w:eastAsia="ru-RU"/>
              </w:rPr>
              <w:t>. </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sz w:val="24"/>
                <w:szCs w:val="24"/>
                <w:shd w:val="clear" w:color="auto" w:fill="FFFFFF"/>
                <w:lang w:eastAsia="ru-RU"/>
              </w:rPr>
              <w:lastRenderedPageBreak/>
              <w:t>(</w:t>
            </w:r>
            <w:r>
              <w:rPr>
                <w:rFonts w:ascii="Times New Roman" w:eastAsia="Times New Roman" w:hAnsi="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Pr>
                <w:rFonts w:ascii="Times New Roman" w:eastAsia="Times New Roman" w:hAnsi="Times New Roman"/>
                <w:sz w:val="24"/>
                <w:szCs w:val="24"/>
                <w:lang w:eastAsia="ru-RU"/>
              </w:rPr>
              <w:lastRenderedPageBreak/>
              <w:t xml:space="preserve">витяг з Єдиного державного </w:t>
            </w:r>
            <w:r>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Pr>
                <w:rFonts w:ascii="Times New Roman" w:eastAsia="Times New Roman" w:hAnsi="Times New Roman"/>
                <w:sz w:val="24"/>
                <w:szCs w:val="24"/>
                <w:lang w:eastAsia="ru-RU"/>
              </w:rPr>
              <w:t>   в який містить інформацію про те, що</w:t>
            </w:r>
            <w:r>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F5A42" w:rsidRDefault="00FF5A42">
            <w:pPr>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r>
              <w:rPr>
                <w:rFonts w:ascii="Times New Roman" w:eastAsia="Times New Roman" w:hAnsi="Times New Roman"/>
                <w:i/>
                <w:iCs/>
                <w:sz w:val="24"/>
                <w:szCs w:val="24"/>
                <w:lang w:eastAsia="ru-RU"/>
              </w:rPr>
              <w:t xml:space="preserve"> </w:t>
            </w:r>
          </w:p>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F5A42" w:rsidRDefault="00FF5A42">
            <w:pPr>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F5A42" w:rsidRDefault="00FF5A42">
            <w:pPr>
              <w:rPr>
                <w:rFonts w:ascii="Times New Roman" w:eastAsia="Times New Roman" w:hAnsi="Times New Roman"/>
                <w:sz w:val="24"/>
                <w:szCs w:val="24"/>
                <w:lang w:eastAsia="ru-RU"/>
              </w:rPr>
            </w:pPr>
          </w:p>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sz w:val="24"/>
                <w:szCs w:val="24"/>
                <w:shd w:val="clear" w:color="auto" w:fill="FFFFFF"/>
                <w:lang w:eastAsia="ru-RU"/>
              </w:rPr>
              <w:t>закупівель</w:t>
            </w:r>
            <w:proofErr w:type="spellEnd"/>
            <w:r>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Pr>
                <w:rFonts w:ascii="Times New Roman" w:eastAsia="Times New Roman" w:hAnsi="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rFonts w:ascii="Times New Roman" w:eastAsia="Times New Roman" w:hAnsi="Times New Roman"/>
                <w:sz w:val="24"/>
                <w:szCs w:val="24"/>
                <w:shd w:val="clear" w:color="auto" w:fill="FFFFFF"/>
                <w:lang w:eastAsia="ru-RU"/>
              </w:rPr>
              <w:lastRenderedPageBreak/>
              <w:t>людьми (</w:t>
            </w:r>
            <w:r>
              <w:rPr>
                <w:rFonts w:ascii="Times New Roman" w:eastAsia="Times New Roman" w:hAnsi="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w:t>
            </w:r>
            <w:r>
              <w:rPr>
                <w:rFonts w:ascii="Times New Roman" w:eastAsia="Times New Roman" w:hAnsi="Times New Roman"/>
                <w:sz w:val="24"/>
                <w:szCs w:val="24"/>
                <w:lang w:eastAsia="ru-RU"/>
              </w:rPr>
              <w:lastRenderedPageBreak/>
              <w:t>закупівлі / фізичну особу, яка є учасником до кримінальної відповідальності не притягується, незнятої чи непогашеної</w:t>
            </w:r>
          </w:p>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судимості не має та в розшуку не перебуває.</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FF5A42" w:rsidTr="00FF5A42">
        <w:tc>
          <w:tcPr>
            <w:tcW w:w="563" w:type="dxa"/>
            <w:tcBorders>
              <w:top w:val="single" w:sz="4" w:space="0" w:color="000000"/>
              <w:left w:val="single" w:sz="4" w:space="0" w:color="000000"/>
              <w:bottom w:val="single" w:sz="4" w:space="0" w:color="000000"/>
              <w:right w:val="single" w:sz="4" w:space="0" w:color="000000"/>
            </w:tcBorders>
            <w:hideMark/>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hideMark/>
          </w:tcPr>
          <w:p w:rsidR="00FF5A42" w:rsidRDefault="00FF5A42">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F5A42" w:rsidRDefault="00FF5A42">
            <w:pPr>
              <w:shd w:val="clear" w:color="auto" w:fill="FFFFFF"/>
              <w:spacing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F5A42" w:rsidRDefault="00FF5A42">
            <w:pPr>
              <w:jc w:val="both"/>
              <w:rPr>
                <w:rFonts w:ascii="Times New Roman" w:hAnsi="Times New Roman"/>
                <w:sz w:val="24"/>
                <w:szCs w:val="24"/>
                <w:lang w:eastAsia="en-US"/>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sz w:val="24"/>
                <w:szCs w:val="24"/>
              </w:rPr>
              <w:t>надати:</w:t>
            </w:r>
          </w:p>
          <w:p w:rsidR="00FF5A42" w:rsidRDefault="00FF5A42" w:rsidP="000D1344">
            <w:pPr>
              <w:pStyle w:val="a4"/>
              <w:numPr>
                <w:ilvl w:val="0"/>
                <w:numId w:val="1"/>
              </w:numPr>
              <w:ind w:left="410"/>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Pr>
                <w:rFonts w:ascii="Times New Roman" w:hAnsi="Times New Roman"/>
                <w:sz w:val="24"/>
                <w:szCs w:val="24"/>
                <w:lang w:val="uk-UA"/>
              </w:rPr>
              <w:lastRenderedPageBreak/>
              <w:t>розірвання такого договору;</w:t>
            </w:r>
          </w:p>
          <w:p w:rsidR="00FF5A42" w:rsidRDefault="00FF5A42">
            <w:pPr>
              <w:ind w:left="50"/>
              <w:jc w:val="both"/>
              <w:rPr>
                <w:rFonts w:ascii="Times New Roman" w:hAnsi="Times New Roman"/>
                <w:sz w:val="24"/>
                <w:szCs w:val="24"/>
              </w:rPr>
            </w:pPr>
            <w:r>
              <w:rPr>
                <w:rFonts w:ascii="Times New Roman" w:hAnsi="Times New Roman"/>
                <w:sz w:val="24"/>
                <w:szCs w:val="24"/>
              </w:rPr>
              <w:t xml:space="preserve">або </w:t>
            </w:r>
          </w:p>
          <w:p w:rsidR="00FF5A42" w:rsidRDefault="00FF5A42" w:rsidP="000D1344">
            <w:pPr>
              <w:pStyle w:val="a4"/>
              <w:numPr>
                <w:ilvl w:val="0"/>
                <w:numId w:val="1"/>
              </w:numPr>
              <w:ind w:left="41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F5A42" w:rsidRDefault="00FF5A42">
            <w:pPr>
              <w:rPr>
                <w:rFonts w:ascii="Times New Roman" w:eastAsia="Times New Roman" w:hAnsi="Times New Roman"/>
                <w:sz w:val="24"/>
                <w:szCs w:val="24"/>
                <w:lang w:eastAsia="ru-RU"/>
              </w:rPr>
            </w:pPr>
          </w:p>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або</w:t>
            </w:r>
          </w:p>
          <w:p w:rsidR="00FF5A42" w:rsidRDefault="00FF5A42">
            <w:pPr>
              <w:rPr>
                <w:rFonts w:ascii="Times New Roman" w:eastAsia="Times New Roman" w:hAnsi="Times New Roman"/>
                <w:sz w:val="24"/>
                <w:szCs w:val="24"/>
                <w:lang w:eastAsia="ru-RU"/>
              </w:rPr>
            </w:pPr>
          </w:p>
          <w:p w:rsidR="00FF5A42" w:rsidRDefault="00FF5A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F5A42" w:rsidRDefault="00FF5A42" w:rsidP="00FF5A42">
      <w:pPr>
        <w:rPr>
          <w:sz w:val="22"/>
          <w:szCs w:val="22"/>
          <w:lang w:eastAsia="en-US"/>
        </w:rPr>
      </w:pPr>
    </w:p>
    <w:p w:rsidR="00FF5A42" w:rsidRDefault="00FF5A42" w:rsidP="00FF5A42">
      <w:pPr>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ВАЖЛИВО!</w:t>
      </w:r>
      <w:r>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b/>
          <w:bCs/>
          <w:sz w:val="24"/>
          <w:szCs w:val="24"/>
          <w:lang w:eastAsia="ru-RU"/>
        </w:rPr>
        <w:t>це службова (посадова) особа</w:t>
      </w:r>
      <w:r>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b/>
          <w:bCs/>
          <w:sz w:val="24"/>
          <w:szCs w:val="24"/>
          <w:lang w:eastAsia="ru-RU"/>
        </w:rPr>
        <w:t>це фізична особа</w:t>
      </w:r>
      <w:r>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FF5A42" w:rsidRDefault="00FF5A42" w:rsidP="00FF5A42">
      <w:pPr>
        <w:jc w:val="both"/>
        <w:rPr>
          <w:rFonts w:ascii="Times New Roman" w:hAnsi="Times New Roman"/>
          <w:sz w:val="24"/>
          <w:szCs w:val="24"/>
          <w:lang w:eastAsia="en-US"/>
        </w:rPr>
      </w:pPr>
    </w:p>
    <w:p w:rsidR="00FF5A42" w:rsidRDefault="00FF5A42" w:rsidP="00FF5A42">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F5A42" w:rsidRDefault="00FF5A42" w:rsidP="00C5123C">
      <w:bookmarkStart w:id="0" w:name="_GoBack"/>
      <w:bookmarkEnd w:id="0"/>
    </w:p>
    <w:sectPr w:rsidR="00FF5A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3C"/>
    <w:rsid w:val="000B0F02"/>
    <w:rsid w:val="00527A54"/>
    <w:rsid w:val="006A5A5C"/>
    <w:rsid w:val="00C5123C"/>
    <w:rsid w:val="00E956A1"/>
    <w:rsid w:val="00F61C24"/>
    <w:rsid w:val="00FF5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CFEA"/>
  <w15:chartTrackingRefBased/>
  <w15:docId w15:val="{4C9C138A-6806-46E6-84AE-81CC16D2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123C"/>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5A42"/>
    <w:rPr>
      <w:color w:val="0563C1" w:themeColor="hyperlink"/>
      <w:u w:val="single"/>
    </w:rPr>
  </w:style>
  <w:style w:type="paragraph" w:styleId="a4">
    <w:name w:val="List Paragraph"/>
    <w:basedOn w:val="a"/>
    <w:uiPriority w:val="34"/>
    <w:qFormat/>
    <w:rsid w:val="00FF5A42"/>
    <w:pPr>
      <w:spacing w:after="160" w:line="256" w:lineRule="auto"/>
      <w:ind w:left="720"/>
      <w:contextualSpacing/>
    </w:pPr>
    <w:rPr>
      <w:rFonts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11327</Words>
  <Characters>6457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Denis</cp:lastModifiedBy>
  <cp:revision>3</cp:revision>
  <dcterms:created xsi:type="dcterms:W3CDTF">2022-11-04T01:00:00Z</dcterms:created>
  <dcterms:modified xsi:type="dcterms:W3CDTF">2022-11-29T09:51:00Z</dcterms:modified>
</cp:coreProperties>
</file>