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5AD30" w14:textId="11DF7DC3" w:rsidR="002817A4" w:rsidRDefault="00CE3193" w:rsidP="00592C99">
      <w:pPr>
        <w:ind w:firstLine="567"/>
        <w:jc w:val="both"/>
        <w:rPr>
          <w:rFonts w:ascii="Times New Roman" w:hAnsi="Times New Roman" w:cs="Times New Roman"/>
          <w:sz w:val="28"/>
          <w:szCs w:val="28"/>
        </w:rPr>
      </w:pPr>
      <w:r w:rsidRPr="00CE3193">
        <w:rPr>
          <w:rFonts w:ascii="Times New Roman" w:hAnsi="Times New Roman" w:cs="Times New Roman"/>
          <w:sz w:val="28"/>
          <w:szCs w:val="28"/>
        </w:rPr>
        <w:t xml:space="preserve">З метою </w:t>
      </w:r>
      <w:r w:rsidR="00592C99">
        <w:rPr>
          <w:rFonts w:ascii="Times New Roman" w:hAnsi="Times New Roman" w:cs="Times New Roman"/>
          <w:sz w:val="28"/>
          <w:szCs w:val="28"/>
        </w:rPr>
        <w:t xml:space="preserve">приведення до відповідності тендерну документацію, відповідно до змін у </w:t>
      </w:r>
      <w:r w:rsidR="00592C99" w:rsidRPr="00592C99">
        <w:rPr>
          <w:rFonts w:ascii="Times New Roman" w:hAnsi="Times New Roman" w:cs="Times New Roman"/>
          <w:sz w:val="28"/>
          <w:szCs w:val="28"/>
        </w:rPr>
        <w:t>постанов</w:t>
      </w:r>
      <w:r w:rsidR="00592C99">
        <w:rPr>
          <w:rFonts w:ascii="Times New Roman" w:hAnsi="Times New Roman" w:cs="Times New Roman"/>
          <w:sz w:val="28"/>
          <w:szCs w:val="28"/>
        </w:rPr>
        <w:t>у</w:t>
      </w:r>
      <w:r w:rsidR="00592C99" w:rsidRPr="00592C99">
        <w:rPr>
          <w:rFonts w:ascii="Times New Roman" w:hAnsi="Times New Roman" w:cs="Times New Roman"/>
          <w:sz w:val="28"/>
          <w:szCs w:val="28"/>
        </w:rPr>
        <w:t xml:space="preserve"> Кабінету Міністрів України від 12.10.2022 №1178</w:t>
      </w:r>
      <w:r w:rsidR="00592C99">
        <w:rPr>
          <w:rFonts w:ascii="Times New Roman" w:hAnsi="Times New Roman" w:cs="Times New Roman"/>
          <w:sz w:val="28"/>
          <w:szCs w:val="28"/>
        </w:rPr>
        <w:t xml:space="preserve">, </w:t>
      </w:r>
      <w:r w:rsidR="003C5A96">
        <w:rPr>
          <w:rFonts w:ascii="Times New Roman" w:hAnsi="Times New Roman" w:cs="Times New Roman"/>
          <w:sz w:val="28"/>
          <w:szCs w:val="28"/>
        </w:rPr>
        <w:br/>
      </w:r>
      <w:r w:rsidR="00592C99">
        <w:rPr>
          <w:rFonts w:ascii="Times New Roman" w:hAnsi="Times New Roman" w:cs="Times New Roman"/>
          <w:sz w:val="28"/>
          <w:szCs w:val="28"/>
        </w:rPr>
        <w:t>від</w:t>
      </w:r>
      <w:r w:rsidR="00592C99" w:rsidRPr="00592C99">
        <w:rPr>
          <w:rFonts w:ascii="Times New Roman" w:hAnsi="Times New Roman" w:cs="Times New Roman"/>
          <w:sz w:val="28"/>
          <w:szCs w:val="28"/>
        </w:rPr>
        <w:t xml:space="preserve"> 02.04.2024</w:t>
      </w:r>
      <w:r w:rsidR="00592C99">
        <w:rPr>
          <w:rFonts w:ascii="Times New Roman" w:hAnsi="Times New Roman" w:cs="Times New Roman"/>
          <w:sz w:val="28"/>
          <w:szCs w:val="28"/>
        </w:rPr>
        <w:t xml:space="preserve"> </w:t>
      </w:r>
      <w:r w:rsidR="00592C99" w:rsidRPr="00592C99">
        <w:rPr>
          <w:rFonts w:ascii="Times New Roman" w:hAnsi="Times New Roman" w:cs="Times New Roman"/>
          <w:sz w:val="28"/>
          <w:szCs w:val="28"/>
        </w:rPr>
        <w:t>№ 382</w:t>
      </w:r>
      <w:r w:rsidR="00592C99">
        <w:rPr>
          <w:rFonts w:ascii="Times New Roman" w:hAnsi="Times New Roman" w:cs="Times New Roman"/>
          <w:sz w:val="28"/>
          <w:szCs w:val="28"/>
        </w:rPr>
        <w:t>, Замовник вносить зміни, а саме:</w:t>
      </w:r>
    </w:p>
    <w:p w14:paraId="0494FC45" w14:textId="629E9A70" w:rsidR="00CE3193" w:rsidRPr="00592C99" w:rsidRDefault="00CE3193">
      <w:pPr>
        <w:rPr>
          <w:rFonts w:ascii="Times New Roman" w:hAnsi="Times New Roman" w:cs="Times New Roman"/>
          <w:sz w:val="18"/>
          <w:szCs w:val="18"/>
        </w:rPr>
      </w:pPr>
    </w:p>
    <w:tbl>
      <w:tblPr>
        <w:tblW w:w="105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228"/>
        <w:gridCol w:w="1879"/>
      </w:tblGrid>
      <w:tr w:rsidR="00CE3193" w:rsidRPr="006A6E45" w14:paraId="69EDC23C" w14:textId="77777777" w:rsidTr="00592C99">
        <w:tc>
          <w:tcPr>
            <w:tcW w:w="2438" w:type="dxa"/>
            <w:shd w:val="clear" w:color="auto" w:fill="auto"/>
          </w:tcPr>
          <w:p w14:paraId="487FE153" w14:textId="19E361FB" w:rsidR="00CE3193" w:rsidRPr="006A6E45" w:rsidRDefault="00CE3193" w:rsidP="003528E7">
            <w:pPr>
              <w:suppressAutoHyphens/>
              <w:ind w:left="24" w:right="175"/>
              <w:rPr>
                <w:rFonts w:ascii="Times New Roman" w:hAnsi="Times New Roman" w:cs="Times New Roman"/>
                <w:b/>
              </w:rPr>
            </w:pPr>
          </w:p>
        </w:tc>
        <w:tc>
          <w:tcPr>
            <w:tcW w:w="6228" w:type="dxa"/>
            <w:vAlign w:val="center"/>
          </w:tcPr>
          <w:p w14:paraId="599ABC17" w14:textId="4B90B1E8" w:rsidR="00CE3193" w:rsidRPr="00CE3193" w:rsidRDefault="00CE3193" w:rsidP="00CE3193">
            <w:pPr>
              <w:suppressAutoHyphens/>
              <w:spacing w:after="0" w:line="240" w:lineRule="auto"/>
              <w:ind w:left="23" w:right="176"/>
              <w:jc w:val="center"/>
              <w:rPr>
                <w:rFonts w:ascii="Times New Roman" w:hAnsi="Times New Roman" w:cs="Times New Roman"/>
                <w:szCs w:val="24"/>
              </w:rPr>
            </w:pPr>
            <w:r w:rsidRPr="00CE3193">
              <w:rPr>
                <w:rFonts w:ascii="Times New Roman" w:hAnsi="Times New Roman" w:cs="Times New Roman"/>
                <w:szCs w:val="24"/>
              </w:rPr>
              <w:t>Було</w:t>
            </w:r>
          </w:p>
        </w:tc>
        <w:tc>
          <w:tcPr>
            <w:tcW w:w="1879" w:type="dxa"/>
            <w:shd w:val="clear" w:color="auto" w:fill="auto"/>
            <w:vAlign w:val="center"/>
          </w:tcPr>
          <w:p w14:paraId="6CF40EEE" w14:textId="5663BB44" w:rsidR="00CE3193" w:rsidRPr="00CE3193" w:rsidRDefault="00CE3193" w:rsidP="00CE3193">
            <w:pPr>
              <w:suppressAutoHyphens/>
              <w:spacing w:after="0" w:line="240" w:lineRule="auto"/>
              <w:ind w:left="23" w:right="176"/>
              <w:jc w:val="center"/>
              <w:rPr>
                <w:rFonts w:ascii="Times New Roman" w:hAnsi="Times New Roman" w:cs="Times New Roman"/>
                <w:szCs w:val="24"/>
              </w:rPr>
            </w:pPr>
            <w:r w:rsidRPr="00CE3193">
              <w:rPr>
                <w:rFonts w:ascii="Times New Roman" w:hAnsi="Times New Roman" w:cs="Times New Roman"/>
                <w:szCs w:val="24"/>
              </w:rPr>
              <w:t>Стало</w:t>
            </w:r>
          </w:p>
        </w:tc>
      </w:tr>
      <w:tr w:rsidR="00CE3193" w:rsidRPr="006A6E45" w14:paraId="09231437" w14:textId="77777777" w:rsidTr="00592C99">
        <w:tc>
          <w:tcPr>
            <w:tcW w:w="10545" w:type="dxa"/>
            <w:gridSpan w:val="3"/>
            <w:shd w:val="clear" w:color="auto" w:fill="auto"/>
          </w:tcPr>
          <w:p w14:paraId="4BDA19F8" w14:textId="6A1A8193" w:rsidR="00CE3193" w:rsidRPr="00CE3193" w:rsidRDefault="00592C99" w:rsidP="00CE3193">
            <w:pPr>
              <w:suppressAutoHyphens/>
              <w:spacing w:after="0" w:line="240" w:lineRule="auto"/>
              <w:ind w:left="23" w:right="176"/>
              <w:jc w:val="center"/>
              <w:rPr>
                <w:rFonts w:ascii="Times New Roman" w:hAnsi="Times New Roman" w:cs="Times New Roman"/>
                <w:szCs w:val="24"/>
              </w:rPr>
            </w:pPr>
            <w:r>
              <w:rPr>
                <w:rFonts w:ascii="Times New Roman" w:hAnsi="Times New Roman" w:cs="Times New Roman"/>
                <w:b/>
                <w:bCs/>
                <w:color w:val="00000A"/>
                <w:sz w:val="26"/>
                <w:szCs w:val="26"/>
              </w:rPr>
              <w:t>III. Інструкція з підготовки тендерної пропозиції</w:t>
            </w:r>
          </w:p>
        </w:tc>
      </w:tr>
      <w:tr w:rsidR="00CE3193" w:rsidRPr="006A6E45" w14:paraId="6BA48F0D" w14:textId="77777777" w:rsidTr="00592C99">
        <w:tc>
          <w:tcPr>
            <w:tcW w:w="2438" w:type="dxa"/>
            <w:shd w:val="clear" w:color="auto" w:fill="auto"/>
          </w:tcPr>
          <w:p w14:paraId="722B3C6A" w14:textId="3408D557" w:rsidR="00CE3193" w:rsidRPr="00592C99" w:rsidRDefault="00592C99" w:rsidP="00CE3193">
            <w:pPr>
              <w:suppressAutoHyphens/>
              <w:ind w:left="24" w:right="175"/>
              <w:rPr>
                <w:rFonts w:ascii="Times New Roman" w:hAnsi="Times New Roman" w:cs="Times New Roman"/>
                <w:b/>
              </w:rPr>
            </w:pPr>
            <w:r w:rsidRPr="00592C99">
              <w:rPr>
                <w:rFonts w:ascii="Times New Roman" w:hAnsi="Times New Roman" w:cs="Times New Roman"/>
                <w:spacing w:val="-4"/>
              </w:rPr>
              <w:t xml:space="preserve">5. </w:t>
            </w:r>
            <w:r w:rsidRPr="00592C99">
              <w:rPr>
                <w:rFonts w:ascii="Times New Roman" w:hAnsi="Times New Roman" w:cs="Times New Roman"/>
                <w:spacing w:val="-4"/>
              </w:rPr>
              <w:t xml:space="preserve">Кваліфікаційні критерії до учасників та вимоги, установлені </w:t>
            </w:r>
            <w:r w:rsidRPr="00592C99">
              <w:rPr>
                <w:rFonts w:ascii="Times New Roman" w:hAnsi="Times New Roman" w:cs="Times New Roman"/>
                <w:color w:val="000000"/>
                <w:spacing w:val="-4"/>
              </w:rPr>
              <w:t>п. 47 Особливостей</w:t>
            </w:r>
            <w:r w:rsidRPr="00592C99">
              <w:rPr>
                <w:rFonts w:ascii="Times New Roman" w:hAnsi="Times New Roman" w:cs="Times New Roman"/>
                <w:spacing w:val="-4"/>
              </w:rPr>
              <w:t xml:space="preserve"> </w:t>
            </w:r>
            <w:r w:rsidRPr="00592C99">
              <w:rPr>
                <w:rFonts w:ascii="Times New Roman" w:hAnsi="Times New Roman" w:cs="Times New Roman"/>
                <w:color w:val="000000"/>
                <w:spacing w:val="-4"/>
              </w:rPr>
              <w:t xml:space="preserve"> </w:t>
            </w:r>
          </w:p>
        </w:tc>
        <w:tc>
          <w:tcPr>
            <w:tcW w:w="6228" w:type="dxa"/>
            <w:vAlign w:val="center"/>
          </w:tcPr>
          <w:p w14:paraId="4EDF3EEA" w14:textId="654E7D2B" w:rsidR="00592C99" w:rsidRPr="00592C99" w:rsidRDefault="00592C99" w:rsidP="00592C99">
            <w:pPr>
              <w:spacing w:line="240" w:lineRule="atLeast"/>
              <w:ind w:right="-2" w:firstLine="229"/>
              <w:contextualSpacing/>
              <w:jc w:val="both"/>
              <w:rPr>
                <w:rFonts w:ascii="Times New Roman" w:hAnsi="Times New Roman" w:cs="Times New Roman"/>
                <w:spacing w:val="-6"/>
                <w:highlight w:val="yellow"/>
              </w:rPr>
            </w:pPr>
            <w:r w:rsidRPr="00592C99">
              <w:rPr>
                <w:rFonts w:ascii="Times New Roman" w:hAnsi="Times New Roman" w:cs="Times New Roman"/>
                <w:spacing w:val="-6"/>
                <w:highlight w:val="yellow"/>
              </w:rPr>
              <w:t>5.3. Відповідно до абзацу чотирнадцятого п. 47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24BCB5" w14:textId="0F681651" w:rsidR="00592C99" w:rsidRPr="00592C99" w:rsidRDefault="00592C99" w:rsidP="00592C99">
            <w:pPr>
              <w:spacing w:line="240" w:lineRule="atLeast"/>
              <w:ind w:right="-2" w:firstLine="229"/>
              <w:contextualSpacing/>
              <w:jc w:val="both"/>
              <w:rPr>
                <w:rFonts w:ascii="Times New Roman" w:hAnsi="Times New Roman" w:cs="Times New Roman"/>
                <w:spacing w:val="-6"/>
                <w:highlight w:val="yellow"/>
              </w:rPr>
            </w:pPr>
          </w:p>
          <w:p w14:paraId="272CDB7F" w14:textId="74C3A79F" w:rsidR="00592C99" w:rsidRPr="00592C99" w:rsidRDefault="00592C99" w:rsidP="00592C99">
            <w:pPr>
              <w:spacing w:line="240" w:lineRule="atLeast"/>
              <w:ind w:right="-2" w:firstLine="229"/>
              <w:contextualSpacing/>
              <w:jc w:val="both"/>
              <w:rPr>
                <w:rFonts w:ascii="Times New Roman" w:hAnsi="Times New Roman" w:cs="Times New Roman"/>
                <w:spacing w:val="-6"/>
                <w:highlight w:val="yellow"/>
              </w:rPr>
            </w:pPr>
            <w:r w:rsidRPr="00592C99">
              <w:rPr>
                <w:rFonts w:ascii="Times New Roman" w:hAnsi="Times New Roman" w:cs="Times New Roman"/>
                <w:spacing w:val="-6"/>
                <w:highlight w:val="yellow"/>
              </w:rPr>
              <w:t>На підтвердження відсутності підстав, зазначених в абзаці чотирнадцятому п. 47 Особливостей, учасник надає довідку в довільній формі про те, що між ним і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7FB99BF9" w14:textId="78F0F476" w:rsidR="00CE3193" w:rsidRPr="00592C99" w:rsidRDefault="00CE3193" w:rsidP="00CE3193">
            <w:pPr>
              <w:suppressAutoHyphens/>
              <w:spacing w:after="0" w:line="240" w:lineRule="auto"/>
              <w:ind w:left="23" w:right="176"/>
              <w:jc w:val="center"/>
              <w:rPr>
                <w:rFonts w:ascii="Times New Roman" w:hAnsi="Times New Roman" w:cs="Times New Roman"/>
                <w:spacing w:val="-6"/>
                <w:highlight w:val="yellow"/>
              </w:rPr>
            </w:pPr>
          </w:p>
        </w:tc>
        <w:tc>
          <w:tcPr>
            <w:tcW w:w="1879" w:type="dxa"/>
            <w:shd w:val="clear" w:color="auto" w:fill="auto"/>
            <w:vAlign w:val="center"/>
          </w:tcPr>
          <w:p w14:paraId="0EA1AE33" w14:textId="249B010D" w:rsidR="00CE3193" w:rsidRPr="00592C99" w:rsidRDefault="00592C99" w:rsidP="00CE3193">
            <w:pPr>
              <w:suppressAutoHyphens/>
              <w:spacing w:after="0" w:line="240" w:lineRule="auto"/>
              <w:ind w:left="23" w:right="176"/>
              <w:jc w:val="center"/>
              <w:rPr>
                <w:rFonts w:ascii="Times New Roman" w:hAnsi="Times New Roman" w:cs="Times New Roman"/>
                <w:b/>
                <w:bCs/>
                <w:sz w:val="28"/>
                <w:szCs w:val="28"/>
              </w:rPr>
            </w:pPr>
            <w:r w:rsidRPr="00592C99">
              <w:rPr>
                <w:rFonts w:ascii="Times New Roman" w:hAnsi="Times New Roman" w:cs="Times New Roman"/>
                <w:b/>
                <w:bCs/>
                <w:color w:val="333333"/>
                <w:sz w:val="28"/>
                <w:szCs w:val="28"/>
                <w:shd w:val="clear" w:color="auto" w:fill="FFFFFF"/>
              </w:rPr>
              <w:t>В</w:t>
            </w:r>
            <w:r w:rsidRPr="00592C99">
              <w:rPr>
                <w:rFonts w:ascii="Times New Roman" w:hAnsi="Times New Roman" w:cs="Times New Roman"/>
                <w:b/>
                <w:bCs/>
                <w:color w:val="333333"/>
                <w:sz w:val="28"/>
                <w:szCs w:val="28"/>
                <w:shd w:val="clear" w:color="auto" w:fill="FFFFFF"/>
              </w:rPr>
              <w:t>иключ</w:t>
            </w:r>
            <w:r w:rsidRPr="00592C99">
              <w:rPr>
                <w:rFonts w:ascii="Times New Roman" w:hAnsi="Times New Roman" w:cs="Times New Roman"/>
                <w:b/>
                <w:bCs/>
                <w:color w:val="333333"/>
                <w:sz w:val="28"/>
                <w:szCs w:val="28"/>
                <w:shd w:val="clear" w:color="auto" w:fill="FFFFFF"/>
              </w:rPr>
              <w:t>ено</w:t>
            </w:r>
          </w:p>
        </w:tc>
      </w:tr>
      <w:tr w:rsidR="00592C99" w:rsidRPr="006A6E45" w14:paraId="4ACA30AC" w14:textId="77777777" w:rsidTr="00592C99">
        <w:tc>
          <w:tcPr>
            <w:tcW w:w="10545" w:type="dxa"/>
            <w:gridSpan w:val="3"/>
            <w:shd w:val="clear" w:color="auto" w:fill="auto"/>
          </w:tcPr>
          <w:p w14:paraId="2331DBCE" w14:textId="1D0D5E15" w:rsidR="00592C99" w:rsidRPr="00592C99" w:rsidRDefault="00592C99" w:rsidP="00592C99">
            <w:pPr>
              <w:tabs>
                <w:tab w:val="left" w:pos="1072"/>
              </w:tabs>
              <w:spacing w:after="0" w:line="240" w:lineRule="auto"/>
              <w:jc w:val="center"/>
              <w:rPr>
                <w:rFonts w:ascii="Times New Roman" w:hAnsi="Times New Roman" w:cs="Times New Roman"/>
                <w:b/>
                <w:bCs/>
              </w:rPr>
            </w:pPr>
            <w:r w:rsidRPr="00592C99">
              <w:rPr>
                <w:rFonts w:ascii="Times New Roman" w:hAnsi="Times New Roman" w:cs="Times New Roman"/>
                <w:b/>
                <w:bCs/>
                <w:sz w:val="28"/>
                <w:szCs w:val="28"/>
              </w:rPr>
              <w:t>Додаток 6 до тендерної документації</w:t>
            </w:r>
          </w:p>
        </w:tc>
      </w:tr>
      <w:tr w:rsidR="00592C99" w:rsidRPr="006A6E45" w14:paraId="25C5BD4C" w14:textId="77777777" w:rsidTr="00592C99">
        <w:tc>
          <w:tcPr>
            <w:tcW w:w="2438" w:type="dxa"/>
            <w:shd w:val="clear" w:color="auto" w:fill="auto"/>
          </w:tcPr>
          <w:p w14:paraId="5778F764" w14:textId="3091BAB2" w:rsidR="00592C99" w:rsidRPr="00592C99" w:rsidRDefault="00592C99" w:rsidP="00CE3193">
            <w:pPr>
              <w:suppressAutoHyphens/>
              <w:ind w:left="24" w:right="175"/>
              <w:rPr>
                <w:rFonts w:ascii="Times New Roman" w:hAnsi="Times New Roman" w:cs="Times New Roman"/>
                <w:spacing w:val="-4"/>
              </w:rPr>
            </w:pPr>
            <w:r w:rsidRPr="00592C99">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пункті 47 Особливостей</w:t>
            </w:r>
            <w:r w:rsidRPr="00592C99">
              <w:rPr>
                <w:rFonts w:ascii="Times New Roman" w:eastAsia="Arial" w:hAnsi="Times New Roman" w:cs="Times New Roman"/>
                <w:b/>
                <w:lang w:eastAsia="ru-RU"/>
              </w:rPr>
              <w:t>, а також для укладання договору</w:t>
            </w:r>
          </w:p>
        </w:tc>
        <w:tc>
          <w:tcPr>
            <w:tcW w:w="6228" w:type="dxa"/>
            <w:vAlign w:val="center"/>
          </w:tcPr>
          <w:p w14:paraId="56B79A4F" w14:textId="5DDB2C76" w:rsidR="00592C99" w:rsidRPr="00592C99" w:rsidRDefault="00592C99" w:rsidP="00592C99">
            <w:pPr>
              <w:pStyle w:val="NoSpacing"/>
              <w:ind w:firstLine="567"/>
              <w:jc w:val="both"/>
              <w:rPr>
                <w:rFonts w:ascii="Times New Roman" w:hAnsi="Times New Roman" w:cs="Times New Roman"/>
                <w:spacing w:val="-6"/>
                <w:sz w:val="22"/>
                <w:szCs w:val="22"/>
                <w:highlight w:val="yellow"/>
              </w:rPr>
            </w:pPr>
            <w:r w:rsidRPr="00592C99">
              <w:rPr>
                <w:rFonts w:ascii="Times New Roman" w:hAnsi="Times New Roman" w:cs="Times New Roman"/>
                <w:b/>
                <w:sz w:val="22"/>
                <w:szCs w:val="22"/>
                <w:highlight w:val="yellow"/>
              </w:rPr>
              <w:t xml:space="preserve">На виконання абзац 14 </w:t>
            </w:r>
            <w:bookmarkStart w:id="0" w:name="_Hlk129259884"/>
            <w:r w:rsidRPr="00592C99">
              <w:rPr>
                <w:rFonts w:ascii="Times New Roman" w:hAnsi="Times New Roman" w:cs="Times New Roman"/>
                <w:b/>
                <w:sz w:val="22"/>
                <w:szCs w:val="22"/>
                <w:highlight w:val="yellow"/>
              </w:rPr>
              <w:t>пункт 47 Особливостей</w:t>
            </w:r>
            <w:bookmarkEnd w:id="0"/>
            <w:r w:rsidRPr="00592C99">
              <w:rPr>
                <w:rFonts w:ascii="Times New Roman" w:hAnsi="Times New Roman" w:cs="Times New Roman"/>
                <w:b/>
                <w:sz w:val="22"/>
                <w:szCs w:val="22"/>
                <w:highlight w:val="yellow"/>
              </w:rPr>
              <w:t>:</w:t>
            </w:r>
            <w:r w:rsidRPr="00592C99">
              <w:rPr>
                <w:rFonts w:ascii="Times New Roman" w:hAnsi="Times New Roman" w:cs="Times New Roman"/>
                <w:sz w:val="22"/>
                <w:szCs w:val="22"/>
                <w:highlight w:val="yellow"/>
              </w:rPr>
              <w:t xml:space="preserve"> </w:t>
            </w:r>
            <w:r w:rsidRPr="00592C99">
              <w:rPr>
                <w:rFonts w:ascii="Times New Roman" w:hAnsi="Times New Roman" w:cs="Times New Roman"/>
                <w:i/>
                <w:sz w:val="22"/>
                <w:szCs w:val="22"/>
                <w:highlight w:val="yellow"/>
              </w:rPr>
              <w:t>Переможець надає довідку в довільній формі про те, що між ним і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879" w:type="dxa"/>
            <w:shd w:val="clear" w:color="auto" w:fill="auto"/>
            <w:vAlign w:val="center"/>
          </w:tcPr>
          <w:p w14:paraId="5CA7A084" w14:textId="6087BE95" w:rsidR="00592C99" w:rsidRPr="00592C99" w:rsidRDefault="00592C99" w:rsidP="00CE3193">
            <w:pPr>
              <w:suppressAutoHyphens/>
              <w:spacing w:after="0" w:line="240" w:lineRule="auto"/>
              <w:ind w:left="23" w:right="176"/>
              <w:jc w:val="center"/>
              <w:rPr>
                <w:rFonts w:ascii="Times New Roman" w:hAnsi="Times New Roman" w:cs="Times New Roman"/>
                <w:b/>
                <w:bCs/>
                <w:color w:val="333333"/>
                <w:sz w:val="28"/>
                <w:szCs w:val="28"/>
                <w:shd w:val="clear" w:color="auto" w:fill="FFFFFF"/>
              </w:rPr>
            </w:pPr>
            <w:r w:rsidRPr="00592C99">
              <w:rPr>
                <w:rFonts w:ascii="Times New Roman" w:hAnsi="Times New Roman" w:cs="Times New Roman"/>
                <w:b/>
                <w:bCs/>
                <w:color w:val="333333"/>
                <w:sz w:val="28"/>
                <w:szCs w:val="28"/>
                <w:shd w:val="clear" w:color="auto" w:fill="FFFFFF"/>
              </w:rPr>
              <w:t>Виключено</w:t>
            </w:r>
          </w:p>
        </w:tc>
      </w:tr>
    </w:tbl>
    <w:p w14:paraId="79979D71" w14:textId="77777777" w:rsidR="00CE3193" w:rsidRPr="00CE3193" w:rsidRDefault="00CE3193">
      <w:pPr>
        <w:rPr>
          <w:rFonts w:ascii="Times New Roman" w:hAnsi="Times New Roman" w:cs="Times New Roman"/>
          <w:sz w:val="28"/>
          <w:szCs w:val="28"/>
        </w:rPr>
      </w:pPr>
    </w:p>
    <w:sectPr w:rsidR="00CE3193" w:rsidRPr="00CE3193" w:rsidSect="00592C99">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93"/>
    <w:rsid w:val="002817A4"/>
    <w:rsid w:val="003C5A96"/>
    <w:rsid w:val="00592C99"/>
    <w:rsid w:val="00CE31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5B0E"/>
  <w15:chartTrackingRefBased/>
  <w15:docId w15:val="{611F8469-9D54-42B8-8EFF-81EF3C3E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2C99"/>
    <w:rPr>
      <w:color w:val="0000FF"/>
      <w:u w:val="single"/>
    </w:rPr>
  </w:style>
  <w:style w:type="paragraph" w:customStyle="1" w:styleId="NoSpacing">
    <w:name w:val="No Spacing"/>
    <w:rsid w:val="00592C99"/>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pPr>
    <w:rPr>
      <w:rFonts w:ascii="Calibri" w:eastAsia="Times New Roman" w:hAnsi="Calibri" w:cs="Calibri"/>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2087</Words>
  <Characters>1190</Characters>
  <Application>Microsoft Office Word</Application>
  <DocSecurity>0</DocSecurity>
  <Lines>9</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bal_va</dc:creator>
  <cp:keywords/>
  <dc:description/>
  <cp:lastModifiedBy>bal_va</cp:lastModifiedBy>
  <cp:revision>2</cp:revision>
  <dcterms:created xsi:type="dcterms:W3CDTF">2024-04-13T03:28:00Z</dcterms:created>
  <dcterms:modified xsi:type="dcterms:W3CDTF">2024-04-13T03:28:00Z</dcterms:modified>
</cp:coreProperties>
</file>