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Додаток №</w:t>
      </w:r>
      <w:r>
        <w:rPr>
          <w:rFonts w:hint="default"/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</w:rPr>
        <w:t xml:space="preserve"> </w:t>
      </w:r>
    </w:p>
    <w:p>
      <w:pPr>
        <w:shd w:val="clear" w:color="auto" w:fill="FFFFFF"/>
        <w:autoSpaceDE w:val="0"/>
        <w:ind w:right="360"/>
        <w:jc w:val="center"/>
        <w:rPr>
          <w:b/>
          <w:bCs/>
          <w:color w:val="000000"/>
          <w:lang w:val="uk-UA"/>
        </w:rPr>
      </w:pPr>
    </w:p>
    <w:p>
      <w:pPr>
        <w:shd w:val="clear" w:color="auto" w:fill="FFFFFF"/>
        <w:autoSpaceDE w:val="0"/>
        <w:ind w:right="360"/>
        <w:jc w:val="center"/>
        <w:rPr>
          <w:b/>
          <w:bCs/>
          <w:color w:val="000000"/>
          <w:lang w:val="uk-UA"/>
        </w:rPr>
      </w:pPr>
    </w:p>
    <w:p>
      <w:pPr>
        <w:shd w:val="clear" w:color="auto" w:fill="FFFFFF"/>
        <w:autoSpaceDE w:val="0"/>
        <w:ind w:right="360"/>
        <w:jc w:val="center"/>
        <w:rPr>
          <w:rFonts w:hint="default"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  <w:r>
        <w:rPr>
          <w:rFonts w:hint="default"/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ДОГОВОРУ</w:t>
      </w:r>
      <w:r>
        <w:rPr>
          <w:rFonts w:hint="default"/>
          <w:b/>
          <w:bCs/>
          <w:color w:val="000000"/>
          <w:lang w:val="uk-UA"/>
        </w:rPr>
        <w:t xml:space="preserve"> №_______</w:t>
      </w:r>
    </w:p>
    <w:p>
      <w:pPr>
        <w:pStyle w:val="1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ind w:left="283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м. Дрогобич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«____»________ 202__ р.</w:t>
      </w:r>
    </w:p>
    <w:p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Виконавчий комітет Дрогобицької міської ради </w:t>
      </w:r>
      <w:r>
        <w:rPr>
          <w:rFonts w:ascii="Times New Roman" w:hAnsi="Times New Roman" w:cs="Times New Roman"/>
          <w:sz w:val="24"/>
          <w:szCs w:val="24"/>
        </w:rPr>
        <w:t xml:space="preserve">в особі міського голови Кучми Тараса Ярославовича, що діє на підставі  Закону України «Про місцеве самоврядування в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країні», далі – «Замовник» з однієї сторони та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, який діє на підставі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далі – «Виконавець», з іншої сторони, що надалі разом іменуються «Сторони», а кожна окремо «Сторона», уклали цей Договір (надалі іменується - «Договір») про наступне:  </w:t>
      </w:r>
    </w:p>
    <w:p>
      <w:pPr>
        <w:pStyle w:val="1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numPr>
          <w:ilvl w:val="0"/>
          <w:numId w:val="1"/>
        </w:numPr>
        <w:tabs>
          <w:tab w:val="left" w:pos="3420"/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ДОГОВОРУ</w:t>
      </w:r>
    </w:p>
    <w:p>
      <w:pPr>
        <w:widowControl/>
        <w:tabs>
          <w:tab w:val="left" w:pos="3420"/>
          <w:tab w:val="left" w:pos="3600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1.1.Виконавеь зобов’язується надавати Замовнику п</w:t>
      </w:r>
      <w:r>
        <w:rPr>
          <w:rFonts w:ascii="Times New Roman" w:hAnsi="Times New Roman" w:cs="Times New Roman"/>
          <w:sz w:val="24"/>
          <w:szCs w:val="24"/>
        </w:rPr>
        <w:t xml:space="preserve">ослуги доступу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глобальн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>
        <w:rPr>
          <w:rFonts w:ascii="Times New Roman" w:hAnsi="Times New Roman" w:cs="Times New Roman"/>
          <w:sz w:val="24"/>
          <w:szCs w:val="24"/>
        </w:rPr>
        <w:t xml:space="preserve"> мереж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Інтернет (Код ДК 021:2015-72720000-3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hint="default" w:ascii="Times New Roman" w:hAnsi="Times New Roman" w:eastAsia="Calibri" w:cs="Times New Roman"/>
          <w:sz w:val="24"/>
          <w:szCs w:val="24"/>
          <w:lang w:val="uk-UA"/>
        </w:rPr>
        <w:t>Послуги у сфері глобальних мереж</w:t>
      </w:r>
      <w:r>
        <w:rPr>
          <w:rFonts w:ascii="Times New Roman" w:hAnsi="Times New Roman" w:eastAsia="Calibri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згідно специфікації на посл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</w:rPr>
        <w:t>ги, наведеної у Додатку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до цього Договору (да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лі – Послуги), а Замовник – прийняти і оплатити такі Послуги, в порядку передбаченому Договором.  </w:t>
      </w:r>
    </w:p>
    <w:p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Найменування послуг, місце їх надання, визначені сторонами у Додатку до цього Договору.</w:t>
      </w:r>
    </w:p>
    <w:p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ЯКІСТЬ ПОСЛУГ</w:t>
      </w:r>
    </w:p>
    <w:p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Виконавець забезпечує надання Послуг з обов’язковим дотриманням вимог щодо їх якості, відповідно до нормативних документів, стандартів, встановлених для цього виду Послуг. Послуги надаються у порядку, передбаченому Правилами надання та отримання телекомунікаційних послуг, затверджених постановою Кабінету Міністрів України від 11.04.2012 № 295 (із змінами) (далі – Правила) та законодавством України.</w:t>
      </w:r>
    </w:p>
    <w:p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Виконавець зобов’язується надавати Замовнику Послуги доступу до мережі Інтернет за умовами та адресами, визначеними Додатком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 до Договору. </w:t>
      </w:r>
    </w:p>
    <w:p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</w:p>
    <w:p>
      <w:pPr>
        <w:keepNext/>
        <w:tabs>
          <w:tab w:val="left" w:pos="0"/>
          <w:tab w:val="left" w:pos="284"/>
        </w:tabs>
        <w:suppressAutoHyphen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aps/>
          <w:kern w:val="1"/>
          <w:sz w:val="24"/>
          <w:szCs w:val="24"/>
          <w:lang w:eastAsia="ar-SA"/>
        </w:rPr>
        <w:t>3. Вартість Послуг. Здача-приймання послуг. Порядок розрахунків</w:t>
      </w:r>
    </w:p>
    <w:p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Загальна ціна цього Договору становить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____________ грн.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____________________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гривень </w:t>
      </w:r>
      <w:r>
        <w:rPr>
          <w:rFonts w:hint="default"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копійок)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 ПДВ. </w:t>
      </w:r>
    </w:p>
    <w:p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Ціну Договору може бути зменшено (змінено) за взаємною згодою Сторін, про що Сторони укладають додаткову угоду.</w:t>
      </w:r>
    </w:p>
    <w:p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Здача-приймання наданих послуг здійснюється Сторонами за Актом здачі-приймання наданих послуг. Розрахунки за цим договором проводяться Замовником в безготівковому порядку. Форма розрахунків – платіжне доручення.</w:t>
      </w:r>
    </w:p>
    <w:p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ВІДПОВІДАЛЬНІСТЬ СТОРІН</w:t>
      </w:r>
    </w:p>
    <w:p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4.1 У випадку порушення своїх зобов’язань за цим договором Сторони несуть відповідальність, визначену чинним законодавством України. Порушення зобов’язання є його невиконання або неналежне виконання, тобто виконання з порушенням умов, визначених змістом зобов’язання.</w:t>
      </w:r>
    </w:p>
    <w:p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4.2 Сторони не несуть відповідальність за порушення своїх зобов’язань за цим договором, якщо воно сталося не з їх вини. Сторона вважається не винуватою, якщо вона доведе, що вжила всіх залежних від неї заходів для належного виконання зобов’язань.</w:t>
      </w:r>
    </w:p>
    <w:p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4.3 Усі спори, що пов’язані з цим Договором вирішуються шляхом переговорів між Сторонами. Якщо спір не може бути вирішений шляхом переговорів, він вирішується в судовому порядку за встановленою підвідомчістю та підсудністю такого спору, визначеному відповідним чинним законодавством України. </w:t>
      </w:r>
    </w:p>
    <w:p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>
      <w:pPr>
        <w:keepNext/>
        <w:tabs>
          <w:tab w:val="left" w:pos="284"/>
        </w:tabs>
        <w:suppressAutoHyphens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aps/>
          <w:kern w:val="1"/>
          <w:sz w:val="24"/>
          <w:szCs w:val="24"/>
          <w:lang w:eastAsia="ar-SA"/>
        </w:rPr>
        <w:t>5. Обставини непереборної сили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Сторони звільняються від відповідальності за часткове або повне невиконання своїх зобов'язань згідно з цим Договором, якщо це стало неможливим внаслідок дії обставин непереборної сили (форс-мажорних обставин). До обставин непереборної сили відносяться надзвичайні обставини та події (стихійні лиха, воєнні події, народні заворушення, дії (акти) державних органів влади, (інші надзвичайні події), які впливають на виконання зобов'язань і не можуть бути передбачені Сторонами в період укладання цього Договору або у разі виникнення яких неможливо вжити відповідних заходів.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Якщо будь-яка із таких обставин буде продовжуватись більше трьох місяців, то кожна зі Сторін буде мати право відмовитись від подальшого виконання зобов’язань за Договором, і в цьому випадку Договір ввжаєаться припиненим у випадку досягнення Сторонами згоди про правові наслідки по всіх умовах даного Договору.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Сторона, яка не може виконувати свої зобов'язання згідно з цим Договором через форс-мажорні обставини, повинна протягом 5 робочих днів письмово повідомити про це другу Сторону.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Наявність та період існування обставин непереборної сили мають бути підтверджені довідкою (актом) Торгово-Промислової Палати України або іншого уповноваженого органу.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СТРОК ДІЇ ДОГОВОРУ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Цей Договір набирає чинності з моменту підписання і діє по 31 грудня 2022 року, а в частині взаєморозрахунків – до повного їх виконання Сторонами.  </w:t>
      </w:r>
    </w:p>
    <w:p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Сторони встановлюють, що, відповідно до ст. 631 Цивільного кодексу України, умови договору застосовуються до відносин між ними, які виникли до його укладання.</w:t>
      </w:r>
    </w:p>
    <w:p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Цей Договір укладено у 2 (двох) оригінальних примірниках, що мають однакову юридичну силу, українською мовою, по одному примірнику для кожної зі Сторін.</w:t>
      </w:r>
    </w:p>
    <w:p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Дострокове припинення цього Договору можливе за взаємною згодою Сторін, або не раніше ніж через 30 (тридцять) календарних днів з дати направлення письмового повідомлення про таке припинення однією Стороною іншій Стороні, в порядку передбаченому Договором. </w:t>
      </w:r>
    </w:p>
    <w:p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Акти здачі-прийняття, доповнення, додатки, специфікації є невід</w:t>
      </w:r>
      <w:r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</w:rPr>
        <w:t>ємними частинами даного Договору.</w:t>
      </w:r>
    </w:p>
    <w:p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ЮРИДИЧНІ АДРЕСИ, БАНКІВСЬКІ РЕКВІЗИТИ ТА ПІДПИСИ СТОРІН</w:t>
      </w:r>
    </w:p>
    <w:tbl>
      <w:tblPr>
        <w:tblStyle w:val="4"/>
        <w:tblW w:w="11032" w:type="dxa"/>
        <w:jc w:val="center"/>
        <w:tblCellSpacing w:w="22" w:type="dxa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891"/>
        <w:gridCol w:w="4602"/>
        <w:gridCol w:w="557"/>
        <w:gridCol w:w="982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661" w:type="pct"/>
          <w:tblCellSpacing w:w="22" w:type="dxa"/>
          <w:jc w:val="center"/>
        </w:trPr>
        <w:tc>
          <w:tcPr>
            <w:tcW w:w="4279" w:type="pct"/>
            <w:gridSpan w:val="2"/>
          </w:tcPr>
          <w:p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ВИКОНАВЕЦЬ                                 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ЗАМОВНИК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pct"/>
          <w:tblCellSpacing w:w="0" w:type="dxa"/>
          <w:jc w:val="center"/>
        </w:trPr>
        <w:tc>
          <w:tcPr>
            <w:tcW w:w="2202" w:type="pct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tabs>
                <w:tab w:val="left" w:pos="6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/____________/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6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2320" w:type="pct"/>
            <w:gridSpan w:val="2"/>
          </w:tcPr>
          <w:p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Виконавчий комітет </w:t>
            </w:r>
          </w:p>
          <w:p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Дрогобицької міської ради</w:t>
            </w:r>
          </w:p>
          <w:p>
            <w:pPr>
              <w:spacing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/_______________/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М.П.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2202" w:type="pct"/>
          </w:tcPr>
          <w:p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pct"/>
            <w:gridSpan w:val="3"/>
          </w:tcPr>
          <w:p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line="240" w:lineRule="auto"/>
        <w:jc w:val="right"/>
        <w:rPr>
          <w:rFonts w:ascii="Times New Roman" w:hAnsi="Times New Roman" w:eastAsia="MS Mincho"/>
          <w:b/>
          <w:bCs/>
          <w:sz w:val="24"/>
          <w:szCs w:val="24"/>
        </w:rPr>
      </w:pPr>
    </w:p>
    <w:p>
      <w:pPr>
        <w:spacing w:line="240" w:lineRule="auto"/>
        <w:jc w:val="right"/>
        <w:rPr>
          <w:rFonts w:ascii="Times New Roman" w:hAnsi="Times New Roman" w:eastAsia="MS Mincho"/>
          <w:b/>
          <w:bCs/>
          <w:sz w:val="24"/>
          <w:szCs w:val="24"/>
        </w:rPr>
      </w:pPr>
      <w:r>
        <w:rPr>
          <w:rFonts w:ascii="Times New Roman" w:hAnsi="Times New Roman" w:eastAsia="MS Mincho"/>
          <w:b/>
          <w:bCs/>
          <w:sz w:val="24"/>
          <w:szCs w:val="24"/>
        </w:rPr>
        <w:br w:type="page"/>
      </w:r>
    </w:p>
    <w:p>
      <w:pPr>
        <w:spacing w:line="240" w:lineRule="auto"/>
        <w:jc w:val="center"/>
        <w:rPr>
          <w:rFonts w:ascii="Times New Roman" w:hAnsi="Times New Roman" w:eastAsia="MS Mincho" w:cs="Times New Roman"/>
          <w:b/>
          <w:bCs/>
          <w:sz w:val="24"/>
          <w:szCs w:val="24"/>
        </w:rPr>
      </w:pPr>
      <w:r>
        <w:rPr>
          <w:rFonts w:ascii="Times New Roman" w:hAnsi="Times New Roman" w:eastAsia="MS Mincho" w:cs="Times New Roman"/>
          <w:b/>
          <w:bCs/>
          <w:sz w:val="24"/>
          <w:szCs w:val="24"/>
        </w:rPr>
        <w:t xml:space="preserve">Додаток  </w:t>
      </w:r>
      <w:r>
        <w:rPr>
          <w:rFonts w:ascii="Times New Roman" w:hAnsi="Times New Roman" w:eastAsia="MS Mincho" w:cs="Times New Roman"/>
          <w:b/>
          <w:bCs/>
          <w:sz w:val="24"/>
          <w:szCs w:val="24"/>
          <w:lang w:val="uk-UA"/>
        </w:rPr>
        <w:t>№</w:t>
      </w:r>
      <w:r>
        <w:rPr>
          <w:rFonts w:ascii="Times New Roman" w:hAnsi="Times New Roman" w:eastAsia="MS Mincho" w:cs="Times New Roman"/>
          <w:b/>
          <w:bCs/>
          <w:sz w:val="24"/>
          <w:szCs w:val="24"/>
        </w:rPr>
        <w:t>1</w:t>
      </w:r>
    </w:p>
    <w:p>
      <w:pPr>
        <w:spacing w:line="240" w:lineRule="auto"/>
        <w:jc w:val="center"/>
        <w:rPr>
          <w:rFonts w:ascii="Times New Roman" w:hAnsi="Times New Roman" w:eastAsia="MS Mincho" w:cs="Times New Roman"/>
          <w:b/>
          <w:bCs/>
          <w:sz w:val="24"/>
          <w:szCs w:val="24"/>
        </w:rPr>
      </w:pPr>
      <w:r>
        <w:rPr>
          <w:rFonts w:ascii="Times New Roman" w:hAnsi="Times New Roman" w:eastAsia="MS Mincho" w:cs="Times New Roman"/>
          <w:b/>
          <w:bCs/>
          <w:sz w:val="24"/>
          <w:szCs w:val="24"/>
        </w:rPr>
        <w:t>до Договору № ___</w:t>
      </w:r>
    </w:p>
    <w:p>
      <w:pPr>
        <w:spacing w:line="240" w:lineRule="auto"/>
        <w:jc w:val="center"/>
        <w:rPr>
          <w:rFonts w:ascii="Times New Roman" w:hAnsi="Times New Roman" w:eastAsia="MS Mincho" w:cs="Times New Roman"/>
          <w:b/>
          <w:bCs/>
          <w:sz w:val="24"/>
          <w:szCs w:val="24"/>
        </w:rPr>
      </w:pPr>
      <w:r>
        <w:rPr>
          <w:rFonts w:ascii="Times New Roman" w:hAnsi="Times New Roman" w:eastAsia="MS Mincho" w:cs="Times New Roman"/>
          <w:b/>
          <w:bCs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</w:rPr>
        <w:t>«___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» _________</w:t>
      </w:r>
      <w:r>
        <w:rPr>
          <w:rFonts w:ascii="Times New Roman" w:hAnsi="Times New Roman" w:eastAsia="MS Mincho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eastAsia="MS Mincho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eastAsia="MS Mincho" w:cs="Times New Roman"/>
          <w:b/>
          <w:bCs/>
          <w:sz w:val="24"/>
          <w:szCs w:val="24"/>
        </w:rPr>
        <w:t xml:space="preserve"> року</w:t>
      </w:r>
    </w:p>
    <w:p>
      <w:pPr>
        <w:spacing w:line="240" w:lineRule="auto"/>
        <w:jc w:val="right"/>
        <w:rPr>
          <w:rFonts w:ascii="Times New Roman" w:hAnsi="Times New Roman" w:eastAsia="MS Mincho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eastAsia="MS Mincho"/>
          <w:sz w:val="24"/>
          <w:szCs w:val="24"/>
        </w:rPr>
      </w:pPr>
      <w:r>
        <w:rPr>
          <w:rFonts w:ascii="Times New Roman" w:hAnsi="Times New Roman" w:eastAsia="MS Mincho" w:cs="Times New Roman"/>
          <w:sz w:val="24"/>
          <w:szCs w:val="24"/>
        </w:rPr>
        <w:t>Специфікація на Послуги</w:t>
      </w:r>
    </w:p>
    <w:p>
      <w:pPr>
        <w:spacing w:line="240" w:lineRule="auto"/>
        <w:jc w:val="center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ascii="Times New Roman" w:hAnsi="Times New Roman" w:eastAsia="MS Mincho" w:cs="Times New Roman"/>
          <w:sz w:val="24"/>
          <w:szCs w:val="24"/>
        </w:rPr>
        <w:t xml:space="preserve">Доступ до </w:t>
      </w:r>
      <w:r>
        <w:rPr>
          <w:rFonts w:ascii="Times New Roman" w:hAnsi="Times New Roman" w:eastAsia="MS Mincho" w:cs="Times New Roman"/>
          <w:sz w:val="24"/>
          <w:szCs w:val="24"/>
          <w:lang w:val="uk-UA"/>
        </w:rPr>
        <w:t>глобальної</w:t>
      </w:r>
      <w:r>
        <w:rPr>
          <w:rFonts w:hint="default" w:ascii="Times New Roman" w:hAnsi="Times New Roman" w:eastAsia="MS Mincho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MS Mincho" w:cs="Times New Roman"/>
          <w:sz w:val="24"/>
          <w:szCs w:val="24"/>
        </w:rPr>
        <w:t>мережі Інтернет без обмеження трафіку</w:t>
      </w:r>
    </w:p>
    <w:p>
      <w:pPr>
        <w:spacing w:line="240" w:lineRule="auto"/>
        <w:rPr>
          <w:rFonts w:ascii="Times New Roman" w:hAnsi="Times New Roman" w:eastAsia="MS Mincho"/>
          <w:sz w:val="24"/>
          <w:szCs w:val="24"/>
        </w:rPr>
      </w:pPr>
    </w:p>
    <w:p>
      <w:pPr>
        <w:spacing w:line="240" w:lineRule="auto"/>
        <w:rPr>
          <w:rFonts w:ascii="Times New Roman" w:hAnsi="Times New Roman" w:eastAsia="MS Mincho"/>
          <w:sz w:val="24"/>
          <w:szCs w:val="24"/>
        </w:rPr>
      </w:pPr>
    </w:p>
    <w:tbl>
      <w:tblPr>
        <w:tblStyle w:val="4"/>
        <w:tblpPr w:leftFromText="180" w:rightFromText="180" w:vertAnchor="text" w:horzAnchor="margin" w:tblpY="159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20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№</w:t>
            </w:r>
          </w:p>
        </w:tc>
        <w:tc>
          <w:tcPr>
            <w:tcW w:w="62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Назва послуги</w:t>
            </w:r>
          </w:p>
        </w:tc>
        <w:tc>
          <w:tcPr>
            <w:tcW w:w="2694" w:type="dxa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 послуги в місяць, грн.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240" w:lineRule="auto"/>
              <w:ind w:firstLine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>
            <w:pPr>
              <w:spacing w:line="240" w:lineRule="auto"/>
              <w:ind w:left="-40" w:right="-41" w:firstLine="7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Послуги доступу до глобальної мережі "Інтернет" </w:t>
            </w:r>
          </w:p>
          <w:p>
            <w:pPr>
              <w:spacing w:line="240" w:lineRule="auto"/>
              <w:ind w:left="0" w:leftChars="0" w:right="-41" w:firstLine="0" w:firstLineChars="0"/>
              <w:rPr>
                <w:rFonts w:hint="default"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 Лішня, вул. І.Франка, 30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 Медвежа, вул. Долішня, 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 Нагуєвичі, вул. І.Франка, 260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 Унятичі, вул. Паркова,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 Ступниця, вул. Перемоги, 1</w:t>
            </w:r>
          </w:p>
        </w:tc>
        <w:tc>
          <w:tcPr>
            <w:tcW w:w="2694" w:type="dxa"/>
            <w:vAlign w:val="center"/>
          </w:tcPr>
          <w:p>
            <w:pPr>
              <w:spacing w:line="240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1081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7"/>
        <w:gridCol w:w="5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7" w:type="dxa"/>
          </w:tcPr>
          <w:p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9" w:type="dxa"/>
          </w:tcPr>
          <w:p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5317" w:type="dxa"/>
          </w:tcPr>
          <w:p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tabs>
                <w:tab w:val="left" w:pos="6610"/>
              </w:tabs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/_____________/</w:t>
            </w:r>
          </w:p>
          <w:p>
            <w:pPr>
              <w:shd w:val="clear" w:color="auto" w:fill="FFFFFF"/>
              <w:tabs>
                <w:tab w:val="left" w:pos="6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499" w:type="dxa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/______________/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М.П.</w:t>
            </w:r>
          </w:p>
        </w:tc>
      </w:tr>
    </w:tbl>
    <w:p>
      <w:pPr>
        <w:spacing w:line="240" w:lineRule="auto"/>
        <w:ind w:firstLine="6300"/>
        <w:jc w:val="right"/>
        <w:rPr>
          <w:rFonts w:ascii="Times New Roman" w:hAnsi="Times New Roman" w:eastAsia="MS Mincho"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pgSz w:w="11906" w:h="16838"/>
      <w:pgMar w:top="567" w:right="566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832A45"/>
    <w:multiLevelType w:val="multilevel"/>
    <w:tmpl w:val="61832A4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E6E"/>
    <w:rsid w:val="00004B6D"/>
    <w:rsid w:val="0001320D"/>
    <w:rsid w:val="00055ECB"/>
    <w:rsid w:val="00065BCF"/>
    <w:rsid w:val="00076463"/>
    <w:rsid w:val="0008254E"/>
    <w:rsid w:val="000B3C27"/>
    <w:rsid w:val="000C3AB9"/>
    <w:rsid w:val="000E311B"/>
    <w:rsid w:val="00101F96"/>
    <w:rsid w:val="00104596"/>
    <w:rsid w:val="00124BC3"/>
    <w:rsid w:val="00141134"/>
    <w:rsid w:val="001433BE"/>
    <w:rsid w:val="0018451E"/>
    <w:rsid w:val="001A7FD9"/>
    <w:rsid w:val="001C43EA"/>
    <w:rsid w:val="001D2DA8"/>
    <w:rsid w:val="00220751"/>
    <w:rsid w:val="00232505"/>
    <w:rsid w:val="00233E2E"/>
    <w:rsid w:val="00240CBB"/>
    <w:rsid w:val="002434A5"/>
    <w:rsid w:val="00244A97"/>
    <w:rsid w:val="002C02F0"/>
    <w:rsid w:val="00321B9A"/>
    <w:rsid w:val="003248C7"/>
    <w:rsid w:val="00324C83"/>
    <w:rsid w:val="00326C9E"/>
    <w:rsid w:val="003548CB"/>
    <w:rsid w:val="00367EB3"/>
    <w:rsid w:val="003A64C3"/>
    <w:rsid w:val="003C27F8"/>
    <w:rsid w:val="003F1E56"/>
    <w:rsid w:val="00471B2E"/>
    <w:rsid w:val="0048498B"/>
    <w:rsid w:val="004C1354"/>
    <w:rsid w:val="004D2466"/>
    <w:rsid w:val="004E3349"/>
    <w:rsid w:val="005033DA"/>
    <w:rsid w:val="005155A8"/>
    <w:rsid w:val="0052741C"/>
    <w:rsid w:val="00532CBF"/>
    <w:rsid w:val="005542F8"/>
    <w:rsid w:val="005945DA"/>
    <w:rsid w:val="005B7B2B"/>
    <w:rsid w:val="005C50AB"/>
    <w:rsid w:val="005E45B8"/>
    <w:rsid w:val="005E4F20"/>
    <w:rsid w:val="00611529"/>
    <w:rsid w:val="00617010"/>
    <w:rsid w:val="00621B12"/>
    <w:rsid w:val="0064361E"/>
    <w:rsid w:val="0069317A"/>
    <w:rsid w:val="00694EDD"/>
    <w:rsid w:val="006B3667"/>
    <w:rsid w:val="006B7294"/>
    <w:rsid w:val="006C1BA0"/>
    <w:rsid w:val="006D7CA4"/>
    <w:rsid w:val="006E72E9"/>
    <w:rsid w:val="006F4124"/>
    <w:rsid w:val="00704BA8"/>
    <w:rsid w:val="0071521C"/>
    <w:rsid w:val="00727551"/>
    <w:rsid w:val="007474F1"/>
    <w:rsid w:val="007535BA"/>
    <w:rsid w:val="00754B35"/>
    <w:rsid w:val="00767333"/>
    <w:rsid w:val="00784BCB"/>
    <w:rsid w:val="00792A9E"/>
    <w:rsid w:val="007A05A8"/>
    <w:rsid w:val="007E4A53"/>
    <w:rsid w:val="007E5192"/>
    <w:rsid w:val="008115A4"/>
    <w:rsid w:val="00837693"/>
    <w:rsid w:val="00887ED6"/>
    <w:rsid w:val="008B2356"/>
    <w:rsid w:val="008D1F85"/>
    <w:rsid w:val="008F7D8F"/>
    <w:rsid w:val="0090451A"/>
    <w:rsid w:val="009377C4"/>
    <w:rsid w:val="00956A11"/>
    <w:rsid w:val="00985DA4"/>
    <w:rsid w:val="009A6812"/>
    <w:rsid w:val="009F579F"/>
    <w:rsid w:val="00A2460C"/>
    <w:rsid w:val="00A31514"/>
    <w:rsid w:val="00A36166"/>
    <w:rsid w:val="00A749C1"/>
    <w:rsid w:val="00AE6B81"/>
    <w:rsid w:val="00B20E83"/>
    <w:rsid w:val="00B20FEB"/>
    <w:rsid w:val="00B31877"/>
    <w:rsid w:val="00B33B46"/>
    <w:rsid w:val="00B358F0"/>
    <w:rsid w:val="00B64327"/>
    <w:rsid w:val="00B70E6E"/>
    <w:rsid w:val="00B77EE4"/>
    <w:rsid w:val="00B87193"/>
    <w:rsid w:val="00BC7F07"/>
    <w:rsid w:val="00BF14EB"/>
    <w:rsid w:val="00BF6697"/>
    <w:rsid w:val="00BF7B91"/>
    <w:rsid w:val="00C90ED0"/>
    <w:rsid w:val="00CC2BF6"/>
    <w:rsid w:val="00CE673C"/>
    <w:rsid w:val="00CF3877"/>
    <w:rsid w:val="00CF39DD"/>
    <w:rsid w:val="00D231FB"/>
    <w:rsid w:val="00D306D3"/>
    <w:rsid w:val="00DB10E9"/>
    <w:rsid w:val="00DD236F"/>
    <w:rsid w:val="00DE67EF"/>
    <w:rsid w:val="00DE71F8"/>
    <w:rsid w:val="00DF6A55"/>
    <w:rsid w:val="00E21BF1"/>
    <w:rsid w:val="00E335DB"/>
    <w:rsid w:val="00E67FA6"/>
    <w:rsid w:val="00E93C03"/>
    <w:rsid w:val="00EC0511"/>
    <w:rsid w:val="00EC5996"/>
    <w:rsid w:val="00ED1115"/>
    <w:rsid w:val="00EF138A"/>
    <w:rsid w:val="00EF3CEB"/>
    <w:rsid w:val="00F51D5C"/>
    <w:rsid w:val="00F90A44"/>
    <w:rsid w:val="00F95800"/>
    <w:rsid w:val="00FA0AD8"/>
    <w:rsid w:val="00FA138E"/>
    <w:rsid w:val="00FA2167"/>
    <w:rsid w:val="00FA34D6"/>
    <w:rsid w:val="00FB581D"/>
    <w:rsid w:val="00FF2AC0"/>
    <w:rsid w:val="08787B6E"/>
    <w:rsid w:val="156D3FB3"/>
    <w:rsid w:val="173A2BC9"/>
    <w:rsid w:val="21F61F31"/>
    <w:rsid w:val="27116D51"/>
    <w:rsid w:val="30E12562"/>
    <w:rsid w:val="43E837B0"/>
    <w:rsid w:val="4A396B13"/>
    <w:rsid w:val="593405B4"/>
    <w:rsid w:val="66B867B2"/>
    <w:rsid w:val="755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  <w:spacing w:line="336" w:lineRule="auto"/>
      <w:ind w:firstLine="440"/>
    </w:pPr>
    <w:rPr>
      <w:rFonts w:ascii="Arial" w:hAnsi="Arial" w:eastAsia="Calibri" w:cs="Arial"/>
      <w:lang w:val="uk-UA" w:eastAsia="ru-RU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widowControl/>
      <w:suppressAutoHyphens/>
      <w:spacing w:before="240" w:after="60" w:line="240" w:lineRule="auto"/>
      <w:ind w:firstLine="0"/>
      <w:outlineLvl w:val="0"/>
    </w:pPr>
    <w:rPr>
      <w:rFonts w:ascii="Calibri Light" w:hAnsi="Calibri Light" w:eastAsia="Times New Roman" w:cs="Calibri Light"/>
      <w:b/>
      <w:bCs/>
      <w:kern w:val="32"/>
      <w:sz w:val="32"/>
      <w:szCs w:val="32"/>
      <w:lang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99"/>
    <w:rPr>
      <w:rFonts w:cs="Times New Roman"/>
      <w:i/>
      <w:iCs/>
    </w:rPr>
  </w:style>
  <w:style w:type="character" w:styleId="6">
    <w:name w:val="Hyperlink"/>
    <w:semiHidden/>
    <w:qFormat/>
    <w:uiPriority w:val="99"/>
    <w:rPr>
      <w:rFonts w:cs="Times New Roman"/>
      <w:color w:val="000080"/>
      <w:u w:val="single"/>
    </w:rPr>
  </w:style>
  <w:style w:type="paragraph" w:styleId="7">
    <w:name w:val="Balloon Text"/>
    <w:basedOn w:val="1"/>
    <w:link w:val="33"/>
    <w:semiHidden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8">
    <w:name w:val="Body Text 2"/>
    <w:basedOn w:val="1"/>
    <w:link w:val="30"/>
    <w:semiHidden/>
    <w:qFormat/>
    <w:uiPriority w:val="99"/>
    <w:pPr>
      <w:spacing w:line="240" w:lineRule="exact"/>
      <w:ind w:firstLine="72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Body Text"/>
    <w:basedOn w:val="1"/>
    <w:link w:val="29"/>
    <w:qFormat/>
    <w:uiPriority w:val="99"/>
    <w:pPr>
      <w:widowControl/>
      <w:spacing w:line="240" w:lineRule="auto"/>
      <w:ind w:firstLine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10">
    <w:name w:val="Title"/>
    <w:basedOn w:val="1"/>
    <w:link w:val="17"/>
    <w:qFormat/>
    <w:uiPriority w:val="99"/>
    <w:pPr>
      <w:widowControl/>
      <w:spacing w:line="240" w:lineRule="auto"/>
      <w:ind w:firstLine="0"/>
      <w:jc w:val="center"/>
    </w:pPr>
  </w:style>
  <w:style w:type="paragraph" w:styleId="11">
    <w:name w:val="List"/>
    <w:basedOn w:val="1"/>
    <w:semiHidden/>
    <w:qFormat/>
    <w:uiPriority w:val="99"/>
    <w:pPr>
      <w:spacing w:line="240" w:lineRule="auto"/>
      <w:ind w:left="283" w:hanging="283"/>
    </w:pPr>
    <w:rPr>
      <w:rFonts w:ascii="Times New Roman" w:hAnsi="Times New Roman" w:eastAsia="Times New Roman" w:cs="Times New Roman"/>
      <w:lang w:eastAsia="en-US"/>
    </w:rPr>
  </w:style>
  <w:style w:type="paragraph" w:styleId="12">
    <w:name w:val="Normal (Web)"/>
    <w:basedOn w:val="1"/>
    <w:link w:val="22"/>
    <w:qFormat/>
    <w:uiPriority w:val="99"/>
    <w:pPr>
      <w:widowControl/>
      <w:spacing w:line="276" w:lineRule="auto"/>
      <w:ind w:left="720" w:firstLine="0"/>
      <w:jc w:val="both"/>
    </w:pPr>
    <w:rPr>
      <w:rFonts w:cs="Times New Roman"/>
      <w:sz w:val="24"/>
      <w:szCs w:val="24"/>
    </w:rPr>
  </w:style>
  <w:style w:type="paragraph" w:styleId="13">
    <w:name w:val="Body Text Indent 2"/>
    <w:basedOn w:val="1"/>
    <w:link w:val="31"/>
    <w:qFormat/>
    <w:uiPriority w:val="99"/>
    <w:pPr>
      <w:widowControl/>
      <w:spacing w:after="120" w:line="480" w:lineRule="auto"/>
      <w:ind w:left="283" w:firstLine="0"/>
    </w:pPr>
    <w:rPr>
      <w:rFonts w:ascii="Times New Roman" w:hAnsi="Times New Roman" w:eastAsia="Times New Roman" w:cs="Times New Roman"/>
    </w:rPr>
  </w:style>
  <w:style w:type="paragraph" w:styleId="14">
    <w:name w:val="HTML Preformatted"/>
    <w:basedOn w:val="1"/>
    <w:link w:val="28"/>
    <w:semiHidden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eastAsia="Times New Roman" w:cs="Courier New"/>
      <w:color w:val="000000"/>
      <w:lang w:val="en-US" w:eastAsia="en-US"/>
    </w:rPr>
  </w:style>
  <w:style w:type="table" w:styleId="1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Заголовок 1 Знак"/>
    <w:link w:val="2"/>
    <w:qFormat/>
    <w:locked/>
    <w:uiPriority w:val="99"/>
    <w:rPr>
      <w:rFonts w:ascii="Calibri Light" w:hAnsi="Calibri Light" w:cs="Calibri Light"/>
      <w:b/>
      <w:bCs/>
      <w:kern w:val="32"/>
      <w:sz w:val="32"/>
      <w:szCs w:val="32"/>
      <w:lang w:val="uk-UA" w:eastAsia="zh-CN"/>
    </w:rPr>
  </w:style>
  <w:style w:type="character" w:customStyle="1" w:styleId="17">
    <w:name w:val="Заголовок Знак"/>
    <w:link w:val="10"/>
    <w:qFormat/>
    <w:locked/>
    <w:uiPriority w:val="99"/>
    <w:rPr>
      <w:rFonts w:ascii="Arial" w:hAnsi="Arial" w:cs="Arial"/>
      <w:sz w:val="20"/>
      <w:szCs w:val="20"/>
      <w:lang w:val="uk-UA" w:eastAsia="ru-RU"/>
    </w:rPr>
  </w:style>
  <w:style w:type="paragraph" w:customStyle="1" w:styleId="18">
    <w:name w:val="Без интервала1"/>
    <w:qFormat/>
    <w:uiPriority w:val="99"/>
    <w:pPr>
      <w:widowControl w:val="0"/>
      <w:ind w:firstLine="440"/>
    </w:pPr>
    <w:rPr>
      <w:rFonts w:ascii="Arial" w:hAnsi="Arial" w:eastAsia="Calibri" w:cs="Arial"/>
      <w:lang w:val="uk-UA" w:eastAsia="ru-RU" w:bidi="ar-SA"/>
    </w:rPr>
  </w:style>
  <w:style w:type="paragraph" w:customStyle="1" w:styleId="19">
    <w:name w:val="Абзац списка1"/>
    <w:basedOn w:val="1"/>
    <w:qFormat/>
    <w:uiPriority w:val="99"/>
    <w:pPr>
      <w:ind w:left="720"/>
    </w:pPr>
  </w:style>
  <w:style w:type="paragraph" w:customStyle="1" w:styleId="20">
    <w:name w:val="Обычный1"/>
    <w:qFormat/>
    <w:uiPriority w:val="99"/>
    <w:pPr>
      <w:suppressAutoHyphens/>
      <w:spacing w:line="276" w:lineRule="auto"/>
    </w:pPr>
    <w:rPr>
      <w:rFonts w:ascii="Arial" w:hAnsi="Arial" w:eastAsia="Calibri" w:cs="Arial"/>
      <w:color w:val="000000"/>
      <w:kern w:val="2"/>
      <w:sz w:val="24"/>
      <w:szCs w:val="24"/>
      <w:lang w:val="ru-RU" w:eastAsia="hi-IN" w:bidi="hi-IN"/>
    </w:rPr>
  </w:style>
  <w:style w:type="paragraph" w:customStyle="1" w:styleId="21">
    <w:name w:val="Standard"/>
    <w:qFormat/>
    <w:uiPriority w:val="99"/>
    <w:pPr>
      <w:suppressAutoHyphens/>
      <w:autoSpaceDN w:val="0"/>
      <w:textAlignment w:val="baseline"/>
    </w:pPr>
    <w:rPr>
      <w:rFonts w:ascii="Liberation Serif" w:hAnsi="Liberation Serif" w:eastAsia="SimSun" w:cs="Liberation Serif"/>
      <w:kern w:val="3"/>
      <w:sz w:val="24"/>
      <w:szCs w:val="24"/>
      <w:lang w:val="ru-RU" w:eastAsia="zh-CN" w:bidi="ar-SA"/>
    </w:rPr>
  </w:style>
  <w:style w:type="character" w:customStyle="1" w:styleId="22">
    <w:name w:val="Обычный (веб) Знак"/>
    <w:link w:val="12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qFormat/>
    <w:uiPriority w:val="99"/>
    <w:pPr>
      <w:suppressAutoHyphens/>
      <w:spacing w:line="276" w:lineRule="auto"/>
    </w:pPr>
    <w:rPr>
      <w:rFonts w:ascii="Arial" w:hAnsi="Arial" w:eastAsia="Calibri" w:cs="Arial"/>
      <w:color w:val="000000"/>
      <w:kern w:val="1"/>
      <w:sz w:val="24"/>
      <w:szCs w:val="24"/>
      <w:lang w:val="ru-RU" w:eastAsia="hi-IN" w:bidi="hi-IN"/>
    </w:rPr>
  </w:style>
  <w:style w:type="paragraph" w:styleId="24">
    <w:name w:val="No Spacing"/>
    <w:qFormat/>
    <w:uiPriority w:val="99"/>
    <w:pPr>
      <w:suppressAutoHyphens/>
    </w:pPr>
    <w:rPr>
      <w:rFonts w:ascii="Times New Roman" w:hAnsi="Times New Roman" w:eastAsia="Times New Roman" w:cs="Times New Roman"/>
      <w:lang w:val="uk-UA" w:eastAsia="ar-SA" w:bidi="ar-SA"/>
    </w:rPr>
  </w:style>
  <w:style w:type="paragraph" w:customStyle="1" w:styleId="25">
    <w:name w:val="Знак Знак3"/>
    <w:basedOn w:val="1"/>
    <w:qFormat/>
    <w:uiPriority w:val="99"/>
    <w:pPr>
      <w:widowControl/>
      <w:spacing w:line="240" w:lineRule="auto"/>
      <w:ind w:firstLine="0"/>
    </w:pPr>
    <w:rPr>
      <w:rFonts w:ascii="Verdana" w:hAnsi="Verdana" w:eastAsia="Times New Roman" w:cs="Verdana"/>
      <w:lang w:val="en-US" w:eastAsia="en-US"/>
    </w:rPr>
  </w:style>
  <w:style w:type="paragraph" w:customStyle="1" w:styleId="26">
    <w:name w:val="Iau?iue"/>
    <w:qFormat/>
    <w:uiPriority w:val="99"/>
    <w:rPr>
      <w:rFonts w:ascii="Times New Roman" w:hAnsi="Times New Roman" w:eastAsia="Times New Roman" w:cs="Times New Roman"/>
      <w:lang w:val="ru-RU" w:eastAsia="en-US" w:bidi="ar-SA"/>
    </w:rPr>
  </w:style>
  <w:style w:type="paragraph" w:styleId="27">
    <w:name w:val="List Paragraph"/>
    <w:basedOn w:val="1"/>
    <w:qFormat/>
    <w:uiPriority w:val="99"/>
    <w:pPr>
      <w:widowControl/>
      <w:spacing w:after="200" w:line="276" w:lineRule="auto"/>
      <w:ind w:left="708" w:firstLine="0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Стандартный HTML Знак"/>
    <w:link w:val="14"/>
    <w:semiHidden/>
    <w:qFormat/>
    <w:locked/>
    <w:uiPriority w:val="99"/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29">
    <w:name w:val="Основной текст Знак"/>
    <w:link w:val="9"/>
    <w:qFormat/>
    <w:locked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Основной текст 2 Знак"/>
    <w:link w:val="8"/>
    <w:semiHidden/>
    <w:qFormat/>
    <w:locked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1">
    <w:name w:val="Основной текст с отступом 2 Знак"/>
    <w:link w:val="13"/>
    <w:qFormat/>
    <w:locked/>
    <w:uiPriority w:val="99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32">
    <w:name w:val="Обычный (веб)1"/>
    <w:basedOn w:val="1"/>
    <w:qFormat/>
    <w:uiPriority w:val="99"/>
    <w:pPr>
      <w:suppressAutoHyphens/>
      <w:spacing w:before="100" w:after="100" w:line="240" w:lineRule="auto"/>
      <w:ind w:firstLine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33">
    <w:name w:val="Текст выноски Знак"/>
    <w:link w:val="7"/>
    <w:semiHidden/>
    <w:qFormat/>
    <w:uiPriority w:val="99"/>
    <w:rPr>
      <w:rFonts w:ascii="Segoe UI" w:hAnsi="Segoe UI" w:cs="Segoe UI"/>
      <w:sz w:val="18"/>
      <w:szCs w:val="18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1007</Words>
  <Characters>5740</Characters>
  <Lines>47</Lines>
  <Paragraphs>13</Paragraphs>
  <TotalTime>1</TotalTime>
  <ScaleCrop>false</ScaleCrop>
  <LinksUpToDate>false</LinksUpToDate>
  <CharactersWithSpaces>6734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2021-12-14T11:53:00Z</dcterms:created>
  <dc:creator>User</dc:creator>
  <cp:lastModifiedBy>Користувач</cp:lastModifiedBy>
  <cp:lastPrinted>2022-09-09T11:51:00Z</cp:lastPrinted>
  <dcterms:modified xsi:type="dcterms:W3CDTF">2022-09-12T08:26:06Z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1FCE43AC2125485DA0A01B7E8564A48D</vt:lpwstr>
  </property>
</Properties>
</file>