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133B26" w:rsidRDefault="00133B26" w:rsidP="00F44930">
      <w:pPr>
        <w:rPr>
          <w:rFonts w:eastAsia="Calibri"/>
          <w:b/>
          <w:sz w:val="22"/>
          <w:szCs w:val="22"/>
          <w:lang w:val="uk-UA" w:eastAsia="en-US"/>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655990" w:rsidRDefault="00F54847" w:rsidP="00F340B4">
      <w:pPr>
        <w:jc w:val="both"/>
        <w:rPr>
          <w:b/>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3B1FA2">
        <w:rPr>
          <w:rFonts w:eastAsia="Calibri"/>
          <w:sz w:val="22"/>
          <w:szCs w:val="22"/>
          <w:lang w:val="uk-UA" w:eastAsia="en-US"/>
        </w:rPr>
        <w:t>Постачальник зобов’язується поставити/</w:t>
      </w:r>
      <w:r w:rsidRPr="003B1FA2">
        <w:rPr>
          <w:rFonts w:eastAsia="Calibri"/>
          <w:sz w:val="22"/>
          <w:szCs w:val="22"/>
          <w:lang w:val="uk-UA" w:eastAsia="en-US"/>
        </w:rPr>
        <w:t>передати у власність Покупця</w:t>
      </w:r>
      <w:r w:rsidR="0038251F">
        <w:rPr>
          <w:rFonts w:eastAsia="Calibri"/>
          <w:sz w:val="22"/>
          <w:szCs w:val="22"/>
          <w:lang w:val="uk-UA" w:eastAsia="en-US"/>
        </w:rPr>
        <w:t xml:space="preserve"> </w:t>
      </w:r>
      <w:r w:rsidR="000C47C5">
        <w:rPr>
          <w:rFonts w:eastAsia="Calibri"/>
          <w:sz w:val="22"/>
          <w:szCs w:val="22"/>
          <w:lang w:val="uk-UA" w:eastAsia="en-US"/>
        </w:rPr>
        <w:t>лікарські засоби</w:t>
      </w:r>
      <w:r w:rsidRPr="00225F90">
        <w:rPr>
          <w:rFonts w:eastAsia="Calibri"/>
          <w:b/>
          <w:sz w:val="22"/>
          <w:szCs w:val="22"/>
          <w:lang w:val="uk-UA" w:eastAsia="en-US"/>
        </w:rPr>
        <w:t>:</w:t>
      </w:r>
      <w:r w:rsidR="00513CAE">
        <w:rPr>
          <w:b/>
          <w:sz w:val="22"/>
          <w:szCs w:val="22"/>
          <w:lang w:val="uk-UA"/>
        </w:rPr>
        <w:t xml:space="preserve"> </w:t>
      </w:r>
      <w:r w:rsidR="00510E51" w:rsidRPr="004503CF">
        <w:rPr>
          <w:b/>
          <w:lang w:val="uk-UA"/>
        </w:rPr>
        <w:t xml:space="preserve">Лікарські засоби: </w:t>
      </w:r>
      <w:proofErr w:type="spellStart"/>
      <w:r w:rsidR="007054F0" w:rsidRPr="007054F0">
        <w:rPr>
          <w:rStyle w:val="rvts0"/>
          <w:sz w:val="22"/>
          <w:szCs w:val="22"/>
          <w:lang w:val="uk-UA"/>
        </w:rPr>
        <w:t>Paracetamol</w:t>
      </w:r>
      <w:proofErr w:type="spellEnd"/>
      <w:r w:rsidR="007054F0" w:rsidRPr="007054F0">
        <w:rPr>
          <w:rStyle w:val="rvts0"/>
          <w:sz w:val="22"/>
          <w:szCs w:val="22"/>
          <w:lang w:val="uk-UA"/>
        </w:rPr>
        <w:t xml:space="preserve">  (ДК 021:2015 33661200-3-анальгетичні  засоби), </w:t>
      </w:r>
      <w:proofErr w:type="spellStart"/>
      <w:r w:rsidR="007054F0" w:rsidRPr="007054F0">
        <w:rPr>
          <w:rStyle w:val="rvts0"/>
          <w:sz w:val="22"/>
          <w:szCs w:val="22"/>
          <w:lang w:val="uk-UA"/>
        </w:rPr>
        <w:t>Tranexamic</w:t>
      </w:r>
      <w:proofErr w:type="spellEnd"/>
      <w:r w:rsidR="007054F0" w:rsidRPr="007054F0">
        <w:rPr>
          <w:rStyle w:val="rvts0"/>
          <w:sz w:val="22"/>
          <w:szCs w:val="22"/>
          <w:lang w:val="uk-UA"/>
        </w:rPr>
        <w:t xml:space="preserve"> </w:t>
      </w:r>
      <w:proofErr w:type="spellStart"/>
      <w:r w:rsidR="007054F0" w:rsidRPr="007054F0">
        <w:rPr>
          <w:rStyle w:val="rvts0"/>
          <w:sz w:val="22"/>
          <w:szCs w:val="22"/>
          <w:lang w:val="uk-UA"/>
        </w:rPr>
        <w:t>acid</w:t>
      </w:r>
      <w:proofErr w:type="spellEnd"/>
      <w:r w:rsidR="007054F0" w:rsidRPr="007054F0">
        <w:rPr>
          <w:rStyle w:val="rvts0"/>
          <w:sz w:val="22"/>
          <w:szCs w:val="22"/>
          <w:lang w:val="uk-UA"/>
        </w:rPr>
        <w:t xml:space="preserve"> (ДК 021:2015 33621200-1-  кровоспинні засоби), </w:t>
      </w:r>
      <w:proofErr w:type="spellStart"/>
      <w:r w:rsidR="007054F0" w:rsidRPr="007054F0">
        <w:rPr>
          <w:rStyle w:val="rvts0"/>
          <w:sz w:val="22"/>
          <w:szCs w:val="22"/>
          <w:lang w:val="uk-UA"/>
        </w:rPr>
        <w:t>Potassium</w:t>
      </w:r>
      <w:proofErr w:type="spellEnd"/>
      <w:r w:rsidR="007054F0" w:rsidRPr="007054F0">
        <w:rPr>
          <w:rStyle w:val="rvts0"/>
          <w:sz w:val="22"/>
          <w:szCs w:val="22"/>
          <w:lang w:val="uk-UA"/>
        </w:rPr>
        <w:t xml:space="preserve"> </w:t>
      </w:r>
      <w:proofErr w:type="spellStart"/>
      <w:r w:rsidR="007054F0" w:rsidRPr="007054F0">
        <w:rPr>
          <w:rStyle w:val="rvts0"/>
          <w:sz w:val="22"/>
          <w:szCs w:val="22"/>
          <w:lang w:val="uk-UA"/>
        </w:rPr>
        <w:t>chloride</w:t>
      </w:r>
      <w:proofErr w:type="spellEnd"/>
      <w:r w:rsidR="007054F0" w:rsidRPr="007054F0">
        <w:rPr>
          <w:rStyle w:val="rvts0"/>
          <w:sz w:val="22"/>
          <w:szCs w:val="22"/>
          <w:lang w:val="uk-UA"/>
        </w:rPr>
        <w:t xml:space="preserve">  (ДК 021:2015 33693000-4 -   інші лікарські засоби),  </w:t>
      </w:r>
      <w:proofErr w:type="spellStart"/>
      <w:r w:rsidR="007054F0" w:rsidRPr="007054F0">
        <w:rPr>
          <w:rStyle w:val="rvts0"/>
          <w:sz w:val="22"/>
          <w:szCs w:val="22"/>
          <w:lang w:val="uk-UA"/>
        </w:rPr>
        <w:t>Magnesium</w:t>
      </w:r>
      <w:proofErr w:type="spellEnd"/>
      <w:r w:rsidR="007054F0" w:rsidRPr="007054F0">
        <w:rPr>
          <w:rStyle w:val="rvts0"/>
          <w:sz w:val="22"/>
          <w:szCs w:val="22"/>
          <w:lang w:val="uk-UA"/>
        </w:rPr>
        <w:t xml:space="preserve"> </w:t>
      </w:r>
      <w:proofErr w:type="spellStart"/>
      <w:r w:rsidR="007054F0" w:rsidRPr="007054F0">
        <w:rPr>
          <w:rStyle w:val="rvts0"/>
          <w:sz w:val="22"/>
          <w:szCs w:val="22"/>
          <w:lang w:val="uk-UA"/>
        </w:rPr>
        <w:t>sulfate</w:t>
      </w:r>
      <w:proofErr w:type="spellEnd"/>
      <w:r w:rsidR="007054F0" w:rsidRPr="007054F0">
        <w:rPr>
          <w:rStyle w:val="rvts0"/>
          <w:sz w:val="22"/>
          <w:szCs w:val="22"/>
          <w:lang w:val="uk-UA"/>
        </w:rPr>
        <w:t xml:space="preserve"> (ДК 021:2015 33622200-8 -</w:t>
      </w:r>
      <w:proofErr w:type="spellStart"/>
      <w:r w:rsidR="007054F0" w:rsidRPr="007054F0">
        <w:rPr>
          <w:rStyle w:val="rvts0"/>
          <w:sz w:val="22"/>
          <w:szCs w:val="22"/>
          <w:lang w:val="uk-UA"/>
        </w:rPr>
        <w:t>протигіпертонічні</w:t>
      </w:r>
      <w:proofErr w:type="spellEnd"/>
      <w:r w:rsidR="007054F0" w:rsidRPr="007054F0">
        <w:rPr>
          <w:rStyle w:val="rvts0"/>
          <w:sz w:val="22"/>
          <w:szCs w:val="22"/>
          <w:lang w:val="uk-UA"/>
        </w:rPr>
        <w:t xml:space="preserve"> засоби), </w:t>
      </w:r>
      <w:proofErr w:type="spellStart"/>
      <w:r w:rsidR="007054F0" w:rsidRPr="007054F0">
        <w:rPr>
          <w:rStyle w:val="rvts0"/>
          <w:sz w:val="22"/>
          <w:szCs w:val="22"/>
          <w:lang w:val="uk-UA"/>
        </w:rPr>
        <w:t>Theophylline</w:t>
      </w:r>
      <w:proofErr w:type="spellEnd"/>
      <w:r w:rsidR="007054F0" w:rsidRPr="007054F0">
        <w:rPr>
          <w:rStyle w:val="rvts0"/>
          <w:sz w:val="22"/>
          <w:szCs w:val="22"/>
          <w:lang w:val="uk-UA"/>
        </w:rPr>
        <w:t xml:space="preserve">    (ДК 021:2015 33670000-7-лікарські засоби для лікування </w:t>
      </w:r>
      <w:proofErr w:type="spellStart"/>
      <w:r w:rsidR="007054F0" w:rsidRPr="007054F0">
        <w:rPr>
          <w:rStyle w:val="rvts0"/>
          <w:sz w:val="22"/>
          <w:szCs w:val="22"/>
          <w:lang w:val="uk-UA"/>
        </w:rPr>
        <w:t>хвороб</w:t>
      </w:r>
      <w:proofErr w:type="spellEnd"/>
      <w:r w:rsidR="007054F0" w:rsidRPr="007054F0">
        <w:rPr>
          <w:rStyle w:val="rvts0"/>
          <w:sz w:val="22"/>
          <w:szCs w:val="22"/>
          <w:lang w:val="uk-UA"/>
        </w:rPr>
        <w:t xml:space="preserve"> дихальної системи), </w:t>
      </w:r>
      <w:proofErr w:type="spellStart"/>
      <w:r w:rsidR="007054F0" w:rsidRPr="007054F0">
        <w:rPr>
          <w:rStyle w:val="rvts0"/>
          <w:sz w:val="22"/>
          <w:szCs w:val="22"/>
          <w:lang w:val="uk-UA"/>
        </w:rPr>
        <w:t>Moxifloxacin</w:t>
      </w:r>
      <w:proofErr w:type="spellEnd"/>
      <w:r w:rsidR="007054F0" w:rsidRPr="007054F0">
        <w:rPr>
          <w:rStyle w:val="rvts0"/>
          <w:sz w:val="22"/>
          <w:szCs w:val="22"/>
          <w:lang w:val="uk-UA"/>
        </w:rPr>
        <w:t xml:space="preserve"> (ДК 021:2015 33651100-9-протибактеріальні засоби для системного застосування), </w:t>
      </w:r>
      <w:proofErr w:type="spellStart"/>
      <w:r w:rsidR="007054F0" w:rsidRPr="007054F0">
        <w:rPr>
          <w:rStyle w:val="rvts0"/>
          <w:rFonts w:eastAsiaTheme="minorHAnsi"/>
          <w:sz w:val="22"/>
          <w:szCs w:val="22"/>
          <w:lang w:val="uk-UA"/>
        </w:rPr>
        <w:t>Ceftriaxone</w:t>
      </w:r>
      <w:proofErr w:type="spellEnd"/>
      <w:r w:rsidR="007054F0" w:rsidRPr="007054F0">
        <w:rPr>
          <w:rStyle w:val="rvts0"/>
          <w:sz w:val="22"/>
          <w:szCs w:val="22"/>
          <w:lang w:val="uk-UA"/>
        </w:rPr>
        <w:t xml:space="preserve"> (ДК 021:2015 33651100-9-протибактеріальні засоби для системного застосування), </w:t>
      </w:r>
      <w:proofErr w:type="spellStart"/>
      <w:r w:rsidR="007054F0" w:rsidRPr="007054F0">
        <w:rPr>
          <w:rStyle w:val="rvts0"/>
          <w:rFonts w:eastAsiaTheme="minorHAnsi"/>
          <w:sz w:val="22"/>
          <w:szCs w:val="22"/>
          <w:lang w:val="uk-UA"/>
        </w:rPr>
        <w:t>Cefepime</w:t>
      </w:r>
      <w:proofErr w:type="spellEnd"/>
      <w:r w:rsidR="007054F0" w:rsidRPr="007054F0">
        <w:rPr>
          <w:rStyle w:val="rvts0"/>
          <w:sz w:val="22"/>
          <w:szCs w:val="22"/>
          <w:lang w:val="uk-UA"/>
        </w:rPr>
        <w:t xml:space="preserve"> (ДК 021:2015 33651100-9-протибактеріальні засоби для системного застосування), </w:t>
      </w:r>
      <w:proofErr w:type="spellStart"/>
      <w:r w:rsidR="007054F0" w:rsidRPr="007054F0">
        <w:rPr>
          <w:rStyle w:val="rvts0"/>
          <w:rFonts w:eastAsiaTheme="minorHAnsi"/>
          <w:sz w:val="22"/>
          <w:szCs w:val="22"/>
          <w:lang w:val="uk-UA"/>
        </w:rPr>
        <w:t>Levofloxacin</w:t>
      </w:r>
      <w:proofErr w:type="spellEnd"/>
      <w:r w:rsidR="007054F0" w:rsidRPr="007054F0">
        <w:rPr>
          <w:rStyle w:val="rvts0"/>
          <w:sz w:val="22"/>
          <w:szCs w:val="22"/>
          <w:lang w:val="uk-UA"/>
        </w:rPr>
        <w:t xml:space="preserve"> (ДК 021:2015 33651100-9-протибактеріальні засоби для системного застосування), </w:t>
      </w:r>
      <w:proofErr w:type="spellStart"/>
      <w:r w:rsidR="007054F0" w:rsidRPr="007054F0">
        <w:rPr>
          <w:rStyle w:val="rvts0"/>
          <w:rFonts w:eastAsiaTheme="minorHAnsi"/>
          <w:sz w:val="22"/>
          <w:szCs w:val="22"/>
          <w:lang w:val="uk-UA"/>
        </w:rPr>
        <w:t>Sodium</w:t>
      </w:r>
      <w:proofErr w:type="spellEnd"/>
      <w:r w:rsidR="007054F0" w:rsidRPr="007054F0">
        <w:rPr>
          <w:rStyle w:val="rvts0"/>
          <w:rFonts w:eastAsiaTheme="minorHAnsi"/>
          <w:sz w:val="22"/>
          <w:szCs w:val="22"/>
          <w:lang w:val="uk-UA"/>
        </w:rPr>
        <w:t xml:space="preserve"> </w:t>
      </w:r>
      <w:proofErr w:type="spellStart"/>
      <w:r w:rsidR="007054F0" w:rsidRPr="007054F0">
        <w:rPr>
          <w:rStyle w:val="rvts0"/>
          <w:rFonts w:eastAsiaTheme="minorHAnsi"/>
          <w:sz w:val="22"/>
          <w:szCs w:val="22"/>
          <w:lang w:val="uk-UA"/>
        </w:rPr>
        <w:t>chloride</w:t>
      </w:r>
      <w:proofErr w:type="spellEnd"/>
      <w:r w:rsidR="007054F0" w:rsidRPr="007054F0">
        <w:rPr>
          <w:rStyle w:val="rvts0"/>
          <w:sz w:val="22"/>
          <w:szCs w:val="22"/>
          <w:lang w:val="uk-UA"/>
        </w:rPr>
        <w:t xml:space="preserve"> (ДК 021:2015 </w:t>
      </w:r>
      <w:r w:rsidR="007054F0" w:rsidRPr="007054F0">
        <w:rPr>
          <w:rStyle w:val="rvts0"/>
          <w:rFonts w:eastAsiaTheme="minorHAnsi"/>
          <w:sz w:val="22"/>
          <w:szCs w:val="22"/>
          <w:lang w:val="uk-UA"/>
        </w:rPr>
        <w:t>33692100-8-інфузійні розчини</w:t>
      </w:r>
      <w:r w:rsidR="007054F0" w:rsidRPr="007054F0">
        <w:rPr>
          <w:rStyle w:val="rvts0"/>
          <w:sz w:val="22"/>
          <w:szCs w:val="22"/>
          <w:lang w:val="uk-UA"/>
        </w:rPr>
        <w:t xml:space="preserve">), </w:t>
      </w:r>
      <w:proofErr w:type="spellStart"/>
      <w:r w:rsidR="007054F0" w:rsidRPr="007054F0">
        <w:rPr>
          <w:rStyle w:val="rvts0"/>
          <w:rFonts w:eastAsiaTheme="minorHAnsi"/>
          <w:sz w:val="22"/>
          <w:szCs w:val="22"/>
          <w:lang w:val="uk-UA"/>
        </w:rPr>
        <w:t>Ondansetron</w:t>
      </w:r>
      <w:proofErr w:type="spellEnd"/>
      <w:r w:rsidR="007054F0" w:rsidRPr="007054F0">
        <w:rPr>
          <w:rStyle w:val="rvts0"/>
          <w:sz w:val="22"/>
          <w:szCs w:val="22"/>
          <w:lang w:val="uk-UA"/>
        </w:rPr>
        <w:t xml:space="preserve"> (ДК 021:2015</w:t>
      </w:r>
      <w:r w:rsidR="003D301F">
        <w:rPr>
          <w:rStyle w:val="rvts0"/>
          <w:sz w:val="22"/>
          <w:szCs w:val="22"/>
          <w:lang w:val="uk-UA"/>
        </w:rPr>
        <w:t xml:space="preserve"> </w:t>
      </w:r>
      <w:bookmarkStart w:id="1" w:name="_GoBack"/>
      <w:bookmarkEnd w:id="1"/>
      <w:r w:rsidR="007054F0" w:rsidRPr="007054F0">
        <w:rPr>
          <w:rStyle w:val="rvts0"/>
          <w:rFonts w:eastAsiaTheme="minorHAnsi"/>
          <w:sz w:val="22"/>
          <w:szCs w:val="22"/>
          <w:lang w:val="uk-UA"/>
        </w:rPr>
        <w:t>33693000-4-інші лікарські засоби</w:t>
      </w:r>
      <w:r w:rsidR="000F208D" w:rsidRPr="000F208D">
        <w:rPr>
          <w:color w:val="000000"/>
          <w:sz w:val="22"/>
          <w:szCs w:val="22"/>
          <w:lang w:val="uk-UA"/>
        </w:rPr>
        <w:t>)</w:t>
      </w:r>
      <w:r w:rsidR="00510E51" w:rsidRPr="00BB3410">
        <w:rPr>
          <w:sz w:val="22"/>
          <w:szCs w:val="22"/>
          <w:lang w:val="uk-UA"/>
        </w:rPr>
        <w:t xml:space="preserve">. </w:t>
      </w:r>
      <w:r w:rsidR="00510E51" w:rsidRPr="00BB3410">
        <w:rPr>
          <w:rStyle w:val="rvts0"/>
          <w:b/>
          <w:sz w:val="22"/>
          <w:szCs w:val="22"/>
          <w:lang w:val="uk-UA"/>
        </w:rPr>
        <w:t xml:space="preserve">Код за </w:t>
      </w:r>
      <w:r w:rsidR="00510E51" w:rsidRPr="00BB3410">
        <w:rPr>
          <w:b/>
          <w:sz w:val="22"/>
          <w:szCs w:val="22"/>
          <w:lang w:val="uk-UA" w:eastAsia="uk-UA"/>
        </w:rPr>
        <w:t xml:space="preserve">ДК 021:2015  33600000-6 Фармацевтична продукція </w:t>
      </w:r>
      <w:r w:rsidR="00833C01" w:rsidRPr="00BB3410">
        <w:rPr>
          <w:sz w:val="22"/>
          <w:szCs w:val="22"/>
          <w:lang w:val="uk-UA"/>
        </w:rPr>
        <w:t>,</w:t>
      </w:r>
      <w:r w:rsidR="00CB04ED" w:rsidRPr="00BB3410">
        <w:rPr>
          <w:rFonts w:eastAsia="Calibri"/>
          <w:sz w:val="22"/>
          <w:szCs w:val="22"/>
          <w:lang w:val="uk-UA" w:eastAsia="en-US"/>
        </w:rPr>
        <w:t xml:space="preserve"> (надалі–Товар), згідно</w:t>
      </w:r>
      <w:r w:rsidR="00CB04ED">
        <w:rPr>
          <w:rFonts w:eastAsia="Calibri"/>
          <w:sz w:val="22"/>
          <w:szCs w:val="22"/>
          <w:lang w:val="uk-UA" w:eastAsia="en-US"/>
        </w:rPr>
        <w:t xml:space="preserve"> зі Специфікацією (додаток №1), </w:t>
      </w:r>
      <w:r w:rsidR="00CB04ED" w:rsidRPr="008D51EA">
        <w:rPr>
          <w:rFonts w:eastAsia="Calibri"/>
          <w:sz w:val="22"/>
          <w:szCs w:val="22"/>
          <w:lang w:val="uk-UA" w:eastAsia="en-US"/>
        </w:rPr>
        <w:t>а Покупець зобов’язується прийняти Товар</w:t>
      </w:r>
      <w:r w:rsidR="00CB04ED" w:rsidRPr="008D51EA">
        <w:rPr>
          <w:rFonts w:eastAsia="Calibri"/>
          <w:sz w:val="22"/>
          <w:szCs w:val="22"/>
          <w:lang w:val="uk-UA" w:eastAsia="en-US" w:bidi="en-US"/>
        </w:rPr>
        <w:t xml:space="preserve"> </w:t>
      </w:r>
      <w:r w:rsidR="00CB04ED" w:rsidRPr="008D51EA">
        <w:rPr>
          <w:rFonts w:eastAsia="Calibri"/>
          <w:sz w:val="22"/>
          <w:szCs w:val="22"/>
          <w:lang w:val="uk-UA" w:eastAsia="en-US"/>
        </w:rPr>
        <w:t>та оплатити його</w:t>
      </w:r>
      <w:r w:rsidR="00CB04ED" w:rsidRPr="00817AEE">
        <w:rPr>
          <w:rFonts w:eastAsia="Calibri"/>
          <w:sz w:val="22"/>
          <w:szCs w:val="22"/>
          <w:lang w:val="uk-UA" w:eastAsia="en-US"/>
        </w:rPr>
        <w:t xml:space="preserve">.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2"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133B26" w:rsidRDefault="00133B26" w:rsidP="00030330">
      <w:pPr>
        <w:pStyle w:val="HTML0"/>
        <w:jc w:val="both"/>
        <w:rPr>
          <w:rFonts w:ascii="Times New Roman" w:eastAsia="Calibri" w:hAnsi="Times New Roman"/>
          <w:b/>
          <w:sz w:val="22"/>
          <w:szCs w:val="22"/>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3"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3"/>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lastRenderedPageBreak/>
        <w:t>2.6</w:t>
      </w:r>
      <w:r w:rsidR="004819D8" w:rsidRPr="00747661">
        <w:rPr>
          <w:sz w:val="22"/>
          <w:szCs w:val="22"/>
          <w:lang w:val="uk-UA" w:eastAsia="ar-SA"/>
        </w:rPr>
        <w:t xml:space="preserve">. </w:t>
      </w:r>
      <w:r w:rsidR="004819D8" w:rsidRPr="00747661">
        <w:rPr>
          <w:sz w:val="22"/>
          <w:szCs w:val="22"/>
          <w:lang w:val="uk-UA"/>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сі 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133B26" w:rsidRDefault="00133B26" w:rsidP="000F681B">
      <w:pPr>
        <w:rPr>
          <w:rFonts w:eastAsia="Calibri"/>
          <w:b/>
          <w:sz w:val="22"/>
          <w:szCs w:val="22"/>
          <w:lang w:val="uk-UA" w:eastAsia="en-US"/>
        </w:rPr>
      </w:pPr>
    </w:p>
    <w:p w:rsidR="000F681B"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133B26" w:rsidRPr="00C44EFE" w:rsidRDefault="00133B26" w:rsidP="000F681B">
      <w:pPr>
        <w:rPr>
          <w:rFonts w:eastAsia="Calibri"/>
          <w:b/>
          <w:sz w:val="22"/>
          <w:szCs w:val="22"/>
          <w:lang w:val="uk-UA" w:eastAsia="en-US"/>
        </w:rPr>
      </w:pP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w:t>
      </w:r>
      <w:r w:rsidRPr="00AF319A">
        <w:rPr>
          <w:sz w:val="22"/>
          <w:szCs w:val="22"/>
          <w:shd w:val="clear" w:color="auto" w:fill="FFFFFF"/>
          <w:lang w:val="uk-UA"/>
        </w:rPr>
        <w:lastRenderedPageBreak/>
        <w:t xml:space="preserve">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2"/>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225F90" w:rsidRPr="00225F90" w:rsidRDefault="00225F90" w:rsidP="00225F90">
      <w:pPr>
        <w:jc w:val="both"/>
        <w:rPr>
          <w:sz w:val="22"/>
          <w:szCs w:val="22"/>
          <w:lang w:val="uk-UA"/>
        </w:rPr>
      </w:pPr>
      <w:r w:rsidRPr="00225F90">
        <w:rPr>
          <w:sz w:val="22"/>
          <w:szCs w:val="22"/>
          <w:lang w:val="uk-UA"/>
        </w:rPr>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133B26" w:rsidRDefault="00133B26"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454225">
        <w:rPr>
          <w:b/>
          <w:sz w:val="22"/>
          <w:szCs w:val="22"/>
          <w:u w:val="single"/>
          <w:lang w:val="uk-UA"/>
        </w:rPr>
        <w:t>20</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lastRenderedPageBreak/>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4" w:name="_Hlk78989963"/>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133B26" w:rsidRDefault="00133B26" w:rsidP="00B46B2E">
      <w:pPr>
        <w:keepNext/>
        <w:ind w:right="91"/>
        <w:rPr>
          <w:rStyle w:val="markedcontent"/>
          <w:b/>
          <w:sz w:val="22"/>
          <w:szCs w:val="22"/>
          <w:lang w:val="uk-UA"/>
        </w:rPr>
      </w:pP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5" w:name="n1615"/>
      <w:bookmarkEnd w:id="5"/>
      <w:r w:rsidRPr="00770FFB">
        <w:rPr>
          <w:sz w:val="22"/>
          <w:szCs w:val="22"/>
        </w:rPr>
        <w:lastRenderedPageBreak/>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6" w:name="n1616"/>
      <w:bookmarkEnd w:id="6"/>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7" w:name="n1617"/>
      <w:bookmarkEnd w:id="7"/>
      <w:r w:rsidRPr="00770FFB">
        <w:rPr>
          <w:sz w:val="22"/>
          <w:szCs w:val="22"/>
        </w:rPr>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8" w:name="n1618"/>
      <w:bookmarkEnd w:id="8"/>
      <w:r w:rsidRPr="00770FFB">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9" w:name="n1619"/>
      <w:bookmarkEnd w:id="9"/>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133B26" w:rsidRDefault="00133B26" w:rsidP="00133B26">
      <w:pPr>
        <w:jc w:val="both"/>
        <w:rPr>
          <w:rFonts w:eastAsia="Calibri"/>
          <w:b/>
          <w:sz w:val="22"/>
          <w:szCs w:val="22"/>
          <w:lang w:val="uk-UA" w:eastAsia="en-US"/>
        </w:rPr>
      </w:pPr>
    </w:p>
    <w:p w:rsidR="00B46B2E" w:rsidRDefault="00B46B2E" w:rsidP="00133B26">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133B26" w:rsidRDefault="00133B26" w:rsidP="00B46B2E">
      <w:pPr>
        <w:jc w:val="both"/>
        <w:rPr>
          <w:rFonts w:eastAsia="Calibri"/>
          <w:b/>
          <w:sz w:val="22"/>
          <w:szCs w:val="22"/>
          <w:lang w:val="uk-UA"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5B0F33" w:rsidRPr="0082451A" w:rsidRDefault="005B0F33" w:rsidP="005B0F33">
      <w:pPr>
        <w:jc w:val="both"/>
        <w:rPr>
          <w:sz w:val="22"/>
          <w:szCs w:val="22"/>
          <w:lang w:val="uk-UA"/>
        </w:rPr>
      </w:pPr>
      <w:r w:rsidRPr="0082451A">
        <w:rPr>
          <w:sz w:val="22"/>
          <w:szCs w:val="22"/>
          <w:lang w:val="uk-UA"/>
        </w:rPr>
        <w:lastRenderedPageBreak/>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10" w:name="n3221"/>
      <w:bookmarkEnd w:id="10"/>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82451A">
        <w:rPr>
          <w:sz w:val="22"/>
          <w:szCs w:val="22"/>
          <w:lang w:val="uk-UA"/>
        </w:rPr>
        <w:t xml:space="preserve">10.5. </w:t>
      </w:r>
      <w:r w:rsidRPr="0082451A">
        <w:rPr>
          <w:bCs/>
          <w:color w:val="000000"/>
          <w:sz w:val="22"/>
          <w:szCs w:val="22"/>
          <w:lang w:val="uk-UA"/>
        </w:rPr>
        <w:t>Істотні умови  даного договору про закупівлю не можуть змінюватися</w:t>
      </w:r>
      <w:r w:rsidRPr="00817AEE">
        <w:rPr>
          <w:bCs/>
          <w:color w:val="000000"/>
          <w:sz w:val="22"/>
          <w:szCs w:val="22"/>
          <w:lang w:val="uk-UA"/>
        </w:rPr>
        <w:t xml:space="preserve"> після його підписання до виконання зобов’язань сторонами в повному обсязі, крім випадків:</w:t>
      </w:r>
    </w:p>
    <w:p w:rsidR="005B0F33" w:rsidRPr="00817AEE" w:rsidRDefault="005B0F33" w:rsidP="005B0F33">
      <w:pPr>
        <w:jc w:val="both"/>
        <w:rPr>
          <w:sz w:val="22"/>
          <w:szCs w:val="22"/>
          <w:lang w:val="uk-UA"/>
        </w:rPr>
      </w:pPr>
      <w:r w:rsidRPr="00817AEE">
        <w:rPr>
          <w:sz w:val="22"/>
          <w:szCs w:val="22"/>
          <w:lang w:val="uk-UA"/>
        </w:rPr>
        <w:t xml:space="preserve">1) Зменшення обсягів закупівлі, зокрема з урахуванням фактичного обсягу видатків замовника. </w:t>
      </w:r>
      <w:r w:rsidRPr="0024674C">
        <w:rPr>
          <w:sz w:val="20"/>
          <w:szCs w:val="20"/>
          <w:lang w:val="uk-UA"/>
        </w:rPr>
        <w:t xml:space="preserve">Сторони можуть </w:t>
      </w:r>
      <w:proofErr w:type="spellStart"/>
      <w:r w:rsidRPr="0024674C">
        <w:rPr>
          <w:sz w:val="20"/>
          <w:szCs w:val="20"/>
          <w:lang w:val="uk-UA"/>
        </w:rPr>
        <w:t>внести</w:t>
      </w:r>
      <w:proofErr w:type="spellEnd"/>
      <w:r w:rsidRPr="0024674C">
        <w:rPr>
          <w:sz w:val="20"/>
          <w:szCs w:val="20"/>
          <w:lang w:val="uk-UA"/>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lang w:val="uk-UA"/>
        </w:rPr>
        <w:t>Покупця</w:t>
      </w:r>
      <w:r w:rsidRPr="0024674C">
        <w:rPr>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lang w:val="uk-UA"/>
        </w:rPr>
        <w:t>.</w:t>
      </w:r>
    </w:p>
    <w:p w:rsidR="005B0F33" w:rsidRPr="00817AEE" w:rsidRDefault="005B0F33" w:rsidP="005B0F33">
      <w:pPr>
        <w:jc w:val="both"/>
        <w:rPr>
          <w:sz w:val="22"/>
          <w:szCs w:val="22"/>
          <w:lang w:val="uk-UA"/>
        </w:rPr>
      </w:pPr>
      <w:r w:rsidRPr="00EB3847">
        <w:rPr>
          <w:sz w:val="22"/>
          <w:szCs w:val="22"/>
          <w:lang w:val="uk-UA"/>
        </w:rPr>
        <w:t xml:space="preserve">2) Збільшення ціни за одиницю товару до 10 відсотків </w:t>
      </w:r>
      <w:proofErr w:type="spellStart"/>
      <w:r w:rsidRPr="00EB3847">
        <w:rPr>
          <w:sz w:val="22"/>
          <w:szCs w:val="22"/>
          <w:lang w:val="uk-UA"/>
        </w:rPr>
        <w:t>пропорційно</w:t>
      </w:r>
      <w:proofErr w:type="spellEnd"/>
      <w:r w:rsidRPr="00EB384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lang w:val="uk-UA"/>
        </w:rPr>
        <w:t xml:space="preserve">. </w:t>
      </w:r>
      <w:r w:rsidRPr="00EB3847">
        <w:rPr>
          <w:sz w:val="22"/>
          <w:szCs w:val="22"/>
          <w:lang w:val="uk-UA"/>
        </w:rPr>
        <w:t>У</w:t>
      </w:r>
      <w:r w:rsidRPr="00DD1D63">
        <w:rPr>
          <w:sz w:val="20"/>
          <w:szCs w:val="20"/>
          <w:lang w:val="uk-UA"/>
        </w:rPr>
        <w:t xml:space="preserve"> разі коливання ціни товару  на ринку в межах до 10 % від ціни за одиницю товару, </w:t>
      </w:r>
      <w:r w:rsidRPr="00DD1D63">
        <w:rPr>
          <w:b/>
          <w:bCs/>
          <w:sz w:val="20"/>
          <w:szCs w:val="20"/>
          <w:lang w:val="uk-UA"/>
        </w:rPr>
        <w:t>Постачальник</w:t>
      </w:r>
      <w:r w:rsidRPr="00DD1D63">
        <w:rPr>
          <w:sz w:val="20"/>
          <w:szCs w:val="20"/>
          <w:lang w:val="uk-UA"/>
        </w:rPr>
        <w:t xml:space="preserve"> письмово звертається до </w:t>
      </w:r>
      <w:r w:rsidRPr="00DD1D63">
        <w:rPr>
          <w:b/>
          <w:bCs/>
          <w:sz w:val="20"/>
          <w:szCs w:val="20"/>
          <w:lang w:val="uk-UA"/>
        </w:rPr>
        <w:t>Покупця</w:t>
      </w:r>
      <w:r w:rsidRPr="00DD1D63">
        <w:rPr>
          <w:sz w:val="20"/>
          <w:szCs w:val="20"/>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lang w:val="uk-UA"/>
        </w:rPr>
        <w:t>ок</w:t>
      </w:r>
      <w:proofErr w:type="spellEnd"/>
      <w:r w:rsidRPr="00DD1D63">
        <w:rPr>
          <w:sz w:val="20"/>
          <w:szCs w:val="20"/>
          <w:lang w:val="uk-UA"/>
        </w:rPr>
        <w:t>) або листа (</w:t>
      </w:r>
      <w:proofErr w:type="spellStart"/>
      <w:r w:rsidRPr="00DD1D63">
        <w:rPr>
          <w:sz w:val="20"/>
          <w:szCs w:val="20"/>
          <w:lang w:val="uk-UA"/>
        </w:rPr>
        <w:t>ів</w:t>
      </w:r>
      <w:proofErr w:type="spellEnd"/>
      <w:r w:rsidRPr="00DD1D63">
        <w:rPr>
          <w:sz w:val="20"/>
          <w:szCs w:val="20"/>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rPr>
          <w:lang w:val="uk-UA"/>
        </w:rPr>
        <w:t> </w:t>
      </w:r>
    </w:p>
    <w:p w:rsidR="005B0F33" w:rsidRPr="00791BF9" w:rsidRDefault="005B0F33" w:rsidP="005B0F33">
      <w:pPr>
        <w:jc w:val="both"/>
        <w:rPr>
          <w:color w:val="000000"/>
          <w:sz w:val="20"/>
          <w:szCs w:val="20"/>
          <w:lang w:val="uk-UA"/>
        </w:rPr>
      </w:pPr>
      <w:r w:rsidRPr="00817AEE">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lang w:val="uk-UA"/>
        </w:rPr>
        <w:t xml:space="preserve"> </w:t>
      </w:r>
      <w:r w:rsidRPr="00791BF9">
        <w:rPr>
          <w:sz w:val="20"/>
          <w:szCs w:val="20"/>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lang w:val="uk-UA"/>
        </w:rPr>
        <w:t>яке не впливає на функціональні характеристики товару</w:t>
      </w:r>
      <w:r w:rsidRPr="00791BF9">
        <w:rPr>
          <w:sz w:val="20"/>
          <w:szCs w:val="20"/>
          <w:lang w:val="uk-UA"/>
        </w:rPr>
        <w:t>.</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7AEE">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817AEE" w:rsidRDefault="005B0F33" w:rsidP="005B0F33">
      <w:pPr>
        <w:widowControl w:val="0"/>
        <w:jc w:val="both"/>
        <w:rPr>
          <w:sz w:val="22"/>
          <w:szCs w:val="22"/>
          <w:lang w:val="uk-UA"/>
        </w:rPr>
      </w:pPr>
      <w:r w:rsidRPr="00817AE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Default="005B0F33" w:rsidP="005B0F33">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5B0F33" w:rsidRPr="00890FAB" w:rsidRDefault="005B0F33" w:rsidP="005B0F33">
      <w:pPr>
        <w:widowControl w:val="0"/>
        <w:suppressAutoHyphens/>
        <w:autoSpaceDE w:val="0"/>
        <w:jc w:val="both"/>
        <w:rPr>
          <w:sz w:val="22"/>
          <w:szCs w:val="22"/>
          <w:lang w:val="uk-UA"/>
        </w:rPr>
      </w:pPr>
      <w:r w:rsidRPr="00817AEE">
        <w:rPr>
          <w:sz w:val="22"/>
          <w:szCs w:val="22"/>
          <w:lang w:val="uk-UA"/>
        </w:rPr>
        <w:t>7</w:t>
      </w:r>
      <w:r>
        <w:rPr>
          <w:sz w:val="22"/>
          <w:szCs w:val="22"/>
          <w:lang w:val="uk-UA"/>
        </w:rPr>
        <w:t>)</w:t>
      </w:r>
      <w:r w:rsidRPr="00322083">
        <w:rPr>
          <w:sz w:val="22"/>
          <w:szCs w:val="22"/>
          <w:lang w:val="uk-UA"/>
        </w:rPr>
        <w:t xml:space="preserve"> </w:t>
      </w:r>
      <w:r w:rsidRPr="00890FAB">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AB">
        <w:rPr>
          <w:sz w:val="22"/>
          <w:szCs w:val="22"/>
          <w:lang w:val="uk-UA"/>
        </w:rPr>
        <w:t>Platts</w:t>
      </w:r>
      <w:proofErr w:type="spellEnd"/>
      <w:r w:rsidRPr="00890FAB">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90FAB">
        <w:rPr>
          <w:bCs/>
          <w:sz w:val="22"/>
          <w:szCs w:val="22"/>
          <w:lang w:val="uk-UA"/>
        </w:rPr>
        <w:t>, для чого:</w:t>
      </w:r>
      <w:r w:rsidRPr="00890FAB">
        <w:rPr>
          <w:sz w:val="22"/>
          <w:szCs w:val="22"/>
          <w:lang w:val="uk-UA"/>
        </w:rPr>
        <w:t xml:space="preserve">   </w:t>
      </w:r>
    </w:p>
    <w:p w:rsidR="005B0F33" w:rsidRPr="00890FAB" w:rsidRDefault="005B0F33" w:rsidP="005B0F33">
      <w:pPr>
        <w:widowControl w:val="0"/>
        <w:suppressAutoHyphens/>
        <w:autoSpaceDE w:val="0"/>
        <w:jc w:val="both"/>
        <w:rPr>
          <w:sz w:val="20"/>
          <w:szCs w:val="20"/>
          <w:lang w:val="uk-UA" w:eastAsia="ar-SA"/>
        </w:rPr>
      </w:pPr>
      <w:r w:rsidRPr="00890FAB">
        <w:rPr>
          <w:sz w:val="20"/>
          <w:szCs w:val="20"/>
          <w:lang w:val="uk-UA" w:eastAsia="ar-SA"/>
        </w:rPr>
        <w:t xml:space="preserve">- У разі зміни офіційного курсу євро або долара США, встановленого Національним банком України (НБУ), більш ніж на </w:t>
      </w:r>
      <w:r w:rsidRPr="00890FAB">
        <w:rPr>
          <w:sz w:val="20"/>
          <w:szCs w:val="20"/>
          <w:lang w:eastAsia="ar-SA"/>
        </w:rPr>
        <w:t>1</w:t>
      </w:r>
      <w:r w:rsidRPr="00890FAB">
        <w:rPr>
          <w:sz w:val="20"/>
          <w:szCs w:val="20"/>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890FAB" w:rsidRDefault="005B0F33" w:rsidP="005B0F33">
      <w:pPr>
        <w:widowControl w:val="0"/>
        <w:suppressAutoHyphens/>
        <w:autoSpaceDE w:val="0"/>
        <w:jc w:val="both"/>
        <w:rPr>
          <w:sz w:val="20"/>
          <w:szCs w:val="20"/>
          <w:lang w:val="uk-UA" w:eastAsia="ar-SA"/>
        </w:rPr>
      </w:pPr>
      <w:r>
        <w:rPr>
          <w:sz w:val="20"/>
          <w:szCs w:val="20"/>
          <w:lang w:val="uk-UA" w:eastAsia="ar-SA"/>
        </w:rPr>
        <w:t xml:space="preserve"> </w:t>
      </w:r>
      <w:r w:rsidRPr="00890FAB">
        <w:rPr>
          <w:sz w:val="20"/>
          <w:szCs w:val="20"/>
          <w:lang w:val="uk-UA" w:eastAsia="ar-SA"/>
        </w:rPr>
        <w:t>Нова ціна Товару = Стара ціна Товару х (Поточний курс євро або долара США /Курс євро або долара США на день електронного аукціону).</w:t>
      </w:r>
    </w:p>
    <w:p w:rsidR="005B0F33" w:rsidRPr="00890FAB" w:rsidRDefault="005B0F33" w:rsidP="005B0F33">
      <w:pPr>
        <w:widowControl w:val="0"/>
        <w:suppressAutoHyphens/>
        <w:autoSpaceDE w:val="0"/>
        <w:ind w:firstLine="450"/>
        <w:jc w:val="both"/>
        <w:rPr>
          <w:sz w:val="20"/>
          <w:szCs w:val="20"/>
          <w:lang w:val="uk-UA" w:eastAsia="ar-SA"/>
        </w:rPr>
      </w:pPr>
      <w:r w:rsidRPr="00890FAB">
        <w:rPr>
          <w:sz w:val="20"/>
          <w:szCs w:val="20"/>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890FAB">
        <w:rPr>
          <w:sz w:val="20"/>
          <w:szCs w:val="20"/>
          <w:lang w:val="uk-UA" w:eastAsia="ar-SA"/>
        </w:rPr>
        <w:cr/>
        <w:t>Курс євро на день проведення електронного аукціону (______________ 202___ року) становить _________________ грн. за один євро.</w:t>
      </w:r>
    </w:p>
    <w:p w:rsidR="005B0F33" w:rsidRPr="00890FAB" w:rsidRDefault="005B0F33" w:rsidP="005B0F33">
      <w:pPr>
        <w:shd w:val="clear" w:color="auto" w:fill="FFFFFF"/>
        <w:ind w:firstLine="450"/>
        <w:jc w:val="both"/>
        <w:textAlignment w:val="baseline"/>
        <w:rPr>
          <w:sz w:val="20"/>
          <w:szCs w:val="20"/>
        </w:rPr>
      </w:pPr>
      <w:r w:rsidRPr="00890FAB">
        <w:rPr>
          <w:sz w:val="20"/>
          <w:szCs w:val="20"/>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B1761B" w:rsidRDefault="005B0F33" w:rsidP="005B0F33">
      <w:pPr>
        <w:pStyle w:val="Default"/>
        <w:jc w:val="both"/>
        <w:rPr>
          <w:sz w:val="20"/>
          <w:szCs w:val="20"/>
          <w:lang w:val="uk-UA"/>
        </w:rPr>
      </w:pPr>
      <w:r w:rsidRPr="00B1761B">
        <w:rPr>
          <w:sz w:val="20"/>
          <w:szCs w:val="20"/>
          <w:lang w:val="uk-UA"/>
        </w:rPr>
        <w:t>-  за погодженням з Покупцем, при зміні регульованих цін на Товар</w:t>
      </w:r>
      <w:r>
        <w:rPr>
          <w:sz w:val="20"/>
          <w:szCs w:val="20"/>
          <w:lang w:val="uk-UA"/>
        </w:rPr>
        <w:t xml:space="preserve"> (лікарські засоби)</w:t>
      </w:r>
      <w:r w:rsidRPr="00B1761B">
        <w:rPr>
          <w:sz w:val="20"/>
          <w:szCs w:val="20"/>
          <w:lang w:val="uk-UA"/>
        </w:rPr>
        <w:t xml:space="preserve">. </w:t>
      </w:r>
      <w:r w:rsidRPr="00B1761B">
        <w:rPr>
          <w:sz w:val="20"/>
          <w:szCs w:val="20"/>
          <w:shd w:val="clear" w:color="auto" w:fill="FFFFFF"/>
          <w:lang w:val="uk-UA"/>
        </w:rPr>
        <w:t xml:space="preserve"> </w:t>
      </w:r>
      <w:r w:rsidRPr="00B1761B">
        <w:rPr>
          <w:sz w:val="20"/>
          <w:szCs w:val="20"/>
          <w:shd w:val="clear" w:color="auto" w:fill="FFFFFF"/>
          <w:lang w:val="uk-UA" w:eastAsia="ar-SA"/>
        </w:rPr>
        <w:t xml:space="preserve">Відповідно у разі внесення змін уповноваженим органом </w:t>
      </w:r>
      <w:r w:rsidRPr="00B1761B">
        <w:rPr>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B1761B">
        <w:rPr>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B1761B">
        <w:rPr>
          <w:sz w:val="20"/>
          <w:szCs w:val="20"/>
          <w:lang w:val="uk-UA"/>
        </w:rPr>
        <w:t>Нові регульовані ціни (тарифи) вступають в дію у разі погодження їх  сторонами</w:t>
      </w:r>
      <w:r w:rsidRPr="00817AEE">
        <w:rPr>
          <w:sz w:val="18"/>
          <w:szCs w:val="18"/>
          <w:shd w:val="clear" w:color="auto" w:fill="FDFDFD"/>
          <w:lang w:val="uk-UA"/>
        </w:rPr>
        <w:t>.</w:t>
      </w:r>
    </w:p>
    <w:p w:rsidR="005B0F33" w:rsidRPr="00F1001F" w:rsidRDefault="005B0F33" w:rsidP="005B0F33">
      <w:pPr>
        <w:pStyle w:val="Default"/>
        <w:jc w:val="both"/>
        <w:rPr>
          <w:sz w:val="22"/>
          <w:szCs w:val="22"/>
          <w:lang w:val="uk-UA"/>
        </w:rPr>
      </w:pPr>
      <w:r w:rsidRPr="00024E57">
        <w:rPr>
          <w:sz w:val="22"/>
          <w:szCs w:val="22"/>
          <w:lang w:val="uk-UA"/>
        </w:rPr>
        <w:t>10.</w:t>
      </w:r>
      <w:r>
        <w:rPr>
          <w:sz w:val="22"/>
          <w:szCs w:val="22"/>
          <w:lang w:val="uk-UA"/>
        </w:rPr>
        <w:t>6</w:t>
      </w:r>
      <w:r w:rsidRPr="00024E57">
        <w:rPr>
          <w:sz w:val="22"/>
          <w:szCs w:val="22"/>
          <w:lang w:val="uk-UA"/>
        </w:rPr>
        <w:t>. Дія договору про закупівлю може бути продовжена на строк, достатній для</w:t>
      </w:r>
      <w:r w:rsidRPr="00817AEE">
        <w:rPr>
          <w:sz w:val="22"/>
          <w:szCs w:val="22"/>
          <w:lang w:val="uk-UA"/>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9B36D7">
        <w:rPr>
          <w:sz w:val="22"/>
          <w:szCs w:val="22"/>
          <w:lang w:val="uk-UA"/>
        </w:rPr>
        <w:t xml:space="preserve">досягнення цієї цілі затверджено в установленому порядку. </w:t>
      </w:r>
    </w:p>
    <w:p w:rsidR="00133B26" w:rsidRDefault="00133B26"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lastRenderedPageBreak/>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133B26" w:rsidRPr="009B36D7" w:rsidRDefault="00133B26" w:rsidP="00B46B2E">
      <w:pPr>
        <w:jc w:val="both"/>
        <w:rPr>
          <w:rFonts w:eastAsia="Calibri"/>
          <w:b/>
          <w:sz w:val="22"/>
          <w:szCs w:val="22"/>
          <w:lang w:val="uk-UA" w:eastAsia="en-US"/>
        </w:rPr>
      </w:pP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133B26" w:rsidRDefault="00133B26" w:rsidP="00173342">
      <w:pPr>
        <w:rPr>
          <w:rFonts w:eastAsia="Calibri"/>
          <w:b/>
          <w:sz w:val="22"/>
          <w:szCs w:val="22"/>
          <w:lang w:val="uk-UA" w:eastAsia="en-US"/>
        </w:rPr>
      </w:pP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7054F0" w:rsidP="00184FDD">
            <w:pPr>
              <w:jc w:val="both"/>
              <w:rPr>
                <w:sz w:val="20"/>
                <w:szCs w:val="20"/>
                <w:lang w:val="uk-UA"/>
              </w:rPr>
            </w:pPr>
            <w:r>
              <w:rPr>
                <w:sz w:val="20"/>
                <w:szCs w:val="20"/>
                <w:lang w:val="uk-UA"/>
              </w:rPr>
              <w:t>21037</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7054F0" w:rsidP="00184FDD">
            <w:pPr>
              <w:jc w:val="both"/>
              <w:rPr>
                <w:color w:val="00000A"/>
                <w:sz w:val="20"/>
                <w:szCs w:val="20"/>
                <w:lang w:val="uk-UA"/>
              </w:rPr>
            </w:pPr>
            <w:r>
              <w:rPr>
                <w:color w:val="00000A"/>
                <w:sz w:val="20"/>
                <w:szCs w:val="20"/>
                <w:lang w:val="uk-UA"/>
              </w:rPr>
              <w:t>UA313052990000026009016101243</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7054F0"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305299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4"/>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Юрисконсу</w:t>
      </w:r>
      <w:r w:rsidR="00271F6B">
        <w:rPr>
          <w:rFonts w:eastAsia="Calibri"/>
          <w:sz w:val="22"/>
          <w:szCs w:val="22"/>
          <w:lang w:val="uk-UA" w:eastAsia="en-US"/>
        </w:rPr>
        <w:t>льт ______________/</w:t>
      </w:r>
      <w:proofErr w:type="spellStart"/>
      <w:r w:rsidR="00271F6B">
        <w:rPr>
          <w:rFonts w:eastAsia="Calibri"/>
          <w:sz w:val="22"/>
          <w:szCs w:val="22"/>
          <w:lang w:val="uk-UA" w:eastAsia="en-US"/>
        </w:rPr>
        <w:t>Р.В.Фірко</w:t>
      </w:r>
      <w:proofErr w:type="spellEnd"/>
      <w:r>
        <w:rPr>
          <w:rFonts w:eastAsia="Calibri"/>
          <w:sz w:val="22"/>
          <w:szCs w:val="22"/>
          <w:lang w:val="uk-UA" w:eastAsia="en-US"/>
        </w:rPr>
        <w:t>/</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2A" w:rsidRDefault="006B142A">
      <w:r>
        <w:separator/>
      </w:r>
    </w:p>
  </w:endnote>
  <w:endnote w:type="continuationSeparator" w:id="0">
    <w:p w:rsidR="006B142A" w:rsidRDefault="006B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2A" w:rsidRDefault="006B142A">
      <w:r>
        <w:separator/>
      </w:r>
    </w:p>
  </w:footnote>
  <w:footnote w:type="continuationSeparator" w:id="0">
    <w:p w:rsidR="006B142A" w:rsidRDefault="006B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3B26"/>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F22B-7B35-44F9-96A2-8D9DB5F8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9</Pages>
  <Words>4942</Words>
  <Characters>28170</Characters>
  <Application>Microsoft Office Word</Application>
  <DocSecurity>0</DocSecurity>
  <Lines>234</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1656</cp:revision>
  <cp:lastPrinted>2021-09-06T14:41:00Z</cp:lastPrinted>
  <dcterms:created xsi:type="dcterms:W3CDTF">2016-07-13T13:08:00Z</dcterms:created>
  <dcterms:modified xsi:type="dcterms:W3CDTF">2022-09-27T07:29:00Z</dcterms:modified>
</cp:coreProperties>
</file>