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spacing w:lineRule="auto" w:line="240" w:before="0" w:after="0"/>
        <w:ind w:left="5660" w:hanging="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hanging="0"/>
        <w:jc w:val="right"/>
        <w:rPr>
          <w:sz w:val="20"/>
          <w:szCs w:val="20"/>
        </w:rPr>
      </w:pPr>
      <w:r>
        <w:rPr>
          <w:rFonts w:eastAsia="Times New Roman" w:cs="Times New Roman" w:ascii="Times New Roman" w:hAnsi="Times New Roman"/>
          <w:b/>
          <w:color w:val="000000"/>
          <w:sz w:val="20"/>
          <w:szCs w:val="20"/>
        </w:rPr>
        <w:t>ДОДАТОК  2</w:t>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0"/>
          <w:szCs w:val="20"/>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240" w:after="0"/>
        <w:jc w:val="center"/>
        <w:rPr>
          <w:rFonts w:ascii="Times New Roman" w:hAnsi="Times New Roman" w:eastAsia="Times New Roman" w:cs="Times New Roman"/>
          <w:b/>
          <w:b/>
          <w:i/>
          <w:i/>
          <w:color w:val="000000"/>
          <w:sz w:val="4"/>
          <w:szCs w:val="4"/>
        </w:rPr>
      </w:pPr>
      <w:r>
        <w:rPr>
          <w:rFonts w:eastAsia="Times New Roman" w:cs="Times New Roman" w:ascii="Times New Roman" w:hAnsi="Times New Roman"/>
          <w:b/>
          <w:i/>
          <w:color w:val="000000"/>
          <w:sz w:val="4"/>
          <w:szCs w:val="4"/>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ТЕХНІЧНА СПЕЦИФІКАЦІЯ</w:t>
      </w:r>
    </w:p>
    <w:p>
      <w:pPr>
        <w:pStyle w:val="Normal"/>
        <w:tabs>
          <w:tab w:val="clear" w:pos="720"/>
          <w:tab w:val="left" w:pos="426" w:leader="none"/>
        </w:tabs>
        <w:spacing w:lineRule="auto" w:line="240" w:before="0" w:after="0"/>
        <w:ind w:left="0" w:hanging="0"/>
        <w:jc w:val="center"/>
        <w:rPr/>
      </w:pPr>
      <w:r>
        <w:rPr>
          <w:rFonts w:eastAsia="Times New Roman" w:cs="Times New Roman" w:ascii="Times New Roman" w:hAnsi="Times New Roman"/>
          <w:b/>
          <w:bCs/>
          <w:i w:val="false"/>
          <w:iCs w:val="false"/>
          <w:caps w:val="false"/>
          <w:smallCaps w:val="false"/>
          <w:strike w:val="false"/>
          <w:dstrike w:val="false"/>
          <w:color w:val="000000"/>
          <w:spacing w:val="0"/>
          <w:position w:val="0"/>
          <w:sz w:val="24"/>
          <w:sz w:val="24"/>
          <w:szCs w:val="24"/>
          <w:u w:val="none"/>
          <w:shd w:fill="auto" w:val="clear"/>
          <w:vertAlign w:val="baseline"/>
          <w:lang w:val="ru-RU" w:eastAsia="uk-UA"/>
        </w:rPr>
        <w:t>Деревина дров’яна непромислового використання м’яких порід</w:t>
      </w:r>
    </w:p>
    <w:p>
      <w:pPr>
        <w:pStyle w:val="Normal"/>
        <w:shd w:val="clear" w:color="auto" w:fill="FFFFFF"/>
        <w:jc w:val="both"/>
        <w:rPr>
          <w:rFonts w:ascii="Times New Roman" w:hAnsi="Times New Roman" w:eastAsia="Arial Unicode MS" w:cs="Times New Roman"/>
          <w:b/>
          <w:b/>
          <w:color w:val="auto"/>
          <w:sz w:val="24"/>
          <w:szCs w:val="24"/>
          <w:lang w:val="uk-UA" w:eastAsia="uk-UA"/>
        </w:rPr>
      </w:pPr>
      <w:r>
        <w:rPr>
          <w:rFonts w:eastAsia="Arial Unicode MS" w:cs="Times New Roman" w:ascii="Times New Roman" w:hAnsi="Times New Roman"/>
          <w:b/>
          <w:color w:val="auto"/>
          <w:sz w:val="24"/>
          <w:szCs w:val="24"/>
          <w:lang w:val="uk-UA" w:eastAsia="uk-UA"/>
        </w:rPr>
      </w:r>
    </w:p>
    <w:tbl>
      <w:tblPr>
        <w:tblStyle w:val="Table1"/>
        <w:tblW w:w="9564" w:type="dxa"/>
        <w:jc w:val="left"/>
        <w:tblInd w:w="36" w:type="dxa"/>
        <w:tblLayout w:type="fixed"/>
        <w:tblCellMar>
          <w:top w:w="100" w:type="dxa"/>
          <w:left w:w="100" w:type="dxa"/>
          <w:bottom w:w="100" w:type="dxa"/>
          <w:right w:w="100" w:type="dxa"/>
        </w:tblCellMar>
        <w:tblLook w:val="0600"/>
      </w:tblPr>
      <w:tblGrid>
        <w:gridCol w:w="2950"/>
        <w:gridCol w:w="6613"/>
      </w:tblGrid>
      <w:tr>
        <w:trPr/>
        <w:tc>
          <w:tcPr>
            <w:tcW w:w="295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eastAsia="Times New Roman" w:cs="Times New Roman" w:ascii="Times New Roman" w:hAnsi="Times New Roman"/>
                <w:b w:val="false"/>
                <w:bCs w:val="false"/>
                <w:sz w:val="24"/>
                <w:szCs w:val="24"/>
                <w:shd w:fill="auto" w:val="clear"/>
              </w:rPr>
              <w:t>Назва предмета закупівлі</w:t>
            </w:r>
          </w:p>
        </w:tc>
        <w:tc>
          <w:tcPr>
            <w:tcW w:w="6613"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hd w:val="clear" w:fill="FFFFFF"/>
              <w:spacing w:lineRule="auto" w:line="240" w:before="0" w:after="0"/>
              <w:jc w:val="both"/>
              <w:rPr>
                <w:sz w:val="24"/>
                <w:szCs w:val="24"/>
              </w:rPr>
            </w:pPr>
            <w:r>
              <w:rPr>
                <w:rFonts w:eastAsia="Times New Roman" w:cs="Times New Roman" w:ascii="Times New Roman" w:hAnsi="Times New Roman"/>
                <w:b w:val="false"/>
                <w:bCs w:val="false"/>
                <w:i w:val="false"/>
                <w:iCs w:val="false"/>
                <w:caps w:val="false"/>
                <w:smallCaps w:val="false"/>
                <w:strike w:val="false"/>
                <w:dstrike w:val="false"/>
                <w:color w:val="000000"/>
                <w:spacing w:val="0"/>
                <w:position w:val="0"/>
                <w:sz w:val="24"/>
                <w:sz w:val="24"/>
                <w:szCs w:val="24"/>
                <w:u w:val="none"/>
                <w:shd w:fill="auto" w:val="clear"/>
                <w:vertAlign w:val="baseline"/>
                <w:lang w:val="ru-RU" w:eastAsia="uk-UA"/>
              </w:rPr>
              <w:t>Деревина дров’яна непромислового використання м’яких порід</w:t>
            </w:r>
          </w:p>
        </w:tc>
      </w:tr>
      <w:tr>
        <w:trPr/>
        <w:tc>
          <w:tcPr>
            <w:tcW w:w="295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eastAsia="Times New Roman" w:cs="Times New Roman" w:ascii="Times New Roman" w:hAnsi="Times New Roman"/>
                <w:sz w:val="24"/>
                <w:szCs w:val="24"/>
                <w:shd w:fill="auto" w:val="clear"/>
              </w:rPr>
              <w:t>Код ДК 021:2015</w:t>
            </w:r>
          </w:p>
        </w:tc>
        <w:tc>
          <w:tcPr>
            <w:tcW w:w="6613"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hd w:val="clear" w:fill="FFFFFF"/>
              <w:tabs>
                <w:tab w:val="clear" w:pos="720"/>
                <w:tab w:val="left" w:pos="426" w:leader="none"/>
              </w:tabs>
              <w:spacing w:lineRule="auto" w:line="240" w:before="0" w:after="0"/>
              <w:ind w:left="0" w:hanging="0"/>
              <w:jc w:val="both"/>
              <w:rPr>
                <w:sz w:val="24"/>
                <w:szCs w:val="24"/>
              </w:rPr>
            </w:pPr>
            <w:r>
              <w:rPr>
                <w:rFonts w:eastAsia="Times New Roman" w:cs="Times New Roman" w:ascii="Times New Roman" w:hAnsi="Times New Roman"/>
                <w:b w:val="false"/>
                <w:bCs w:val="false"/>
                <w:i w:val="false"/>
                <w:iCs w:val="false"/>
                <w:caps w:val="false"/>
                <w:smallCaps w:val="false"/>
                <w:strike w:val="false"/>
                <w:dstrike w:val="false"/>
                <w:color w:val="000000"/>
                <w:spacing w:val="0"/>
                <w:position w:val="0"/>
                <w:sz w:val="24"/>
                <w:sz w:val="24"/>
                <w:szCs w:val="24"/>
                <w:u w:val="none"/>
                <w:shd w:fill="auto" w:val="clear"/>
                <w:vertAlign w:val="baseline"/>
                <w:lang w:val="ru-RU" w:eastAsia="ru-RU"/>
              </w:rPr>
              <w:t>03410000-7- Деревина</w:t>
            </w:r>
          </w:p>
        </w:tc>
      </w:tr>
      <w:tr>
        <w:trPr/>
        <w:tc>
          <w:tcPr>
            <w:tcW w:w="295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eastAsia="Times New Roman" w:cs="Times New Roman" w:ascii="Times New Roman" w:hAnsi="Times New Roman"/>
                <w:sz w:val="24"/>
                <w:szCs w:val="24"/>
                <w:shd w:fill="auto" w:val="clear"/>
              </w:rPr>
              <w:t xml:space="preserve">Кількість поставки товару </w:t>
            </w:r>
          </w:p>
        </w:tc>
        <w:tc>
          <w:tcPr>
            <w:tcW w:w="6613"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eastAsia="Times New Roman" w:cs="Times New Roman" w:ascii="Times New Roman" w:hAnsi="Times New Roman"/>
                <w:b w:val="false"/>
                <w:bCs w:val="false"/>
                <w:i w:val="false"/>
                <w:iCs w:val="false"/>
                <w:sz w:val="24"/>
                <w:szCs w:val="24"/>
                <w:shd w:fill="auto" w:val="clear"/>
              </w:rPr>
              <w:t>39</w:t>
            </w:r>
            <w:r>
              <w:rPr>
                <w:rFonts w:eastAsia="Times New Roman" w:cs="Times New Roman" w:ascii="Times New Roman" w:hAnsi="Times New Roman"/>
                <w:b w:val="false"/>
                <w:bCs w:val="false"/>
                <w:i w:val="false"/>
                <w:iCs w:val="false"/>
                <w:sz w:val="24"/>
                <w:szCs w:val="24"/>
                <w:shd w:fill="auto" w:val="clear"/>
              </w:rPr>
              <w:t xml:space="preserve"> м3</w:t>
            </w:r>
          </w:p>
        </w:tc>
      </w:tr>
      <w:tr>
        <w:trPr/>
        <w:tc>
          <w:tcPr>
            <w:tcW w:w="295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eastAsia="Times New Roman" w:cs="Times New Roman" w:ascii="Times New Roman" w:hAnsi="Times New Roman"/>
                <w:sz w:val="24"/>
                <w:szCs w:val="24"/>
                <w:shd w:fill="auto" w:val="clear"/>
              </w:rPr>
              <w:t xml:space="preserve">Місце поставки товару </w:t>
            </w:r>
          </w:p>
        </w:tc>
        <w:tc>
          <w:tcPr>
            <w:tcW w:w="6613"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tabs>
                <w:tab w:val="clear" w:pos="720"/>
                <w:tab w:val="left" w:pos="11057" w:leader="none"/>
              </w:tabs>
              <w:spacing w:before="0" w:after="0"/>
              <w:ind w:left="0" w:right="-102" w:hanging="0"/>
              <w:jc w:val="both"/>
              <w:rPr>
                <w:sz w:val="24"/>
                <w:szCs w:val="24"/>
              </w:rPr>
            </w:pPr>
            <w:r>
              <w:rPr>
                <w:rFonts w:ascii="Times New Roman" w:hAnsi="Times New Roman"/>
                <w:sz w:val="24"/>
                <w:szCs w:val="24"/>
                <w:lang w:val="uk-UA"/>
              </w:rPr>
              <w:t>- Київська обл. Фастівський р-н, смт Борова, вул. Миру 1а;</w:t>
            </w:r>
          </w:p>
          <w:p>
            <w:pPr>
              <w:pStyle w:val="Normal"/>
              <w:widowControl w:val="false"/>
              <w:tabs>
                <w:tab w:val="clear" w:pos="720"/>
                <w:tab w:val="left" w:pos="11057" w:leader="none"/>
              </w:tabs>
              <w:spacing w:before="0" w:after="0"/>
              <w:ind w:left="0" w:right="-102" w:hanging="0"/>
              <w:jc w:val="both"/>
              <w:rPr>
                <w:sz w:val="24"/>
                <w:szCs w:val="24"/>
              </w:rPr>
            </w:pPr>
            <w:r>
              <w:rPr>
                <w:rFonts w:ascii="Times New Roman" w:hAnsi="Times New Roman"/>
                <w:sz w:val="24"/>
                <w:szCs w:val="24"/>
                <w:lang w:val="uk-UA"/>
              </w:rPr>
              <w:t>- Київська обл. м. Фастів, пров. Шестопала В., 1;</w:t>
            </w:r>
          </w:p>
          <w:p>
            <w:pPr>
              <w:pStyle w:val="Normal"/>
              <w:widowControl w:val="false"/>
              <w:shd w:val="clear" w:color="auto" w:fill="FFFFFF"/>
              <w:tabs>
                <w:tab w:val="clear" w:pos="720"/>
                <w:tab w:val="left" w:pos="11057" w:leader="none"/>
              </w:tabs>
              <w:spacing w:lineRule="auto" w:line="240" w:before="0" w:after="0"/>
              <w:ind w:left="0" w:right="-102" w:hanging="0"/>
              <w:jc w:val="both"/>
              <w:rPr>
                <w:sz w:val="24"/>
                <w:szCs w:val="24"/>
              </w:rPr>
            </w:pPr>
            <w:r>
              <w:rPr>
                <w:rFonts w:eastAsia="Times New Roman" w:cs="Times New Roman" w:ascii="Times New Roman" w:hAnsi="Times New Roman"/>
                <w:b w:val="false"/>
                <w:bCs w:val="false"/>
                <w:i w:val="false"/>
                <w:iCs w:val="false"/>
                <w:color w:val="000000"/>
                <w:sz w:val="24"/>
                <w:szCs w:val="24"/>
                <w:shd w:fill="auto" w:val="clear"/>
                <w:lang w:val="uk-UA"/>
              </w:rPr>
              <w:t>- Київська обл. Фастівський р-н, с. Бишів, вул. Гагаріна, 41.</w:t>
            </w:r>
          </w:p>
        </w:tc>
      </w:tr>
      <w:tr>
        <w:trPr/>
        <w:tc>
          <w:tcPr>
            <w:tcW w:w="2950"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eastAsia="Times New Roman" w:cs="Times New Roman" w:ascii="Times New Roman" w:hAnsi="Times New Roman"/>
                <w:sz w:val="24"/>
                <w:szCs w:val="24"/>
                <w:shd w:fill="auto" w:val="clear"/>
              </w:rPr>
              <w:t xml:space="preserve">Строк поставки товару </w:t>
            </w:r>
          </w:p>
        </w:tc>
        <w:tc>
          <w:tcPr>
            <w:tcW w:w="6613"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i w:val="false"/>
                <w:iCs w:val="false"/>
                <w:sz w:val="24"/>
                <w:szCs w:val="24"/>
                <w:shd w:fill="auto" w:val="clear"/>
              </w:rPr>
              <w:t>До 31.12.2024 року включно</w:t>
            </w:r>
          </w:p>
        </w:tc>
      </w:tr>
      <w:tr>
        <w:trPr/>
        <w:tc>
          <w:tcPr>
            <w:tcW w:w="2950" w:type="dxa"/>
            <w:tcBorders>
              <w:left w:val="single" w:sz="8" w:space="0" w:color="000000"/>
              <w:bottom w:val="single" w:sz="8" w:space="0" w:color="000000"/>
              <w:right w:val="single" w:sz="8" w:space="0" w:color="000000"/>
            </w:tcBorders>
            <w:shd w:fill="auto" w:val="clear"/>
          </w:tcPr>
          <w:p>
            <w:pPr>
              <w:pStyle w:val="Normal"/>
              <w:widowControl w:val="false"/>
              <w:spacing w:lineRule="auto" w:line="240" w:before="0" w:after="0"/>
              <w:rPr>
                <w:sz w:val="24"/>
                <w:szCs w:val="24"/>
              </w:rPr>
            </w:pPr>
            <w:r>
              <w:rPr>
                <w:rFonts w:ascii="Times New Roman" w:hAnsi="Times New Roman"/>
                <w:sz w:val="24"/>
                <w:szCs w:val="24"/>
                <w:shd w:fill="auto" w:val="clear"/>
              </w:rPr>
              <w:t>Технічні вимоги</w:t>
            </w:r>
          </w:p>
        </w:tc>
        <w:tc>
          <w:tcPr>
            <w:tcW w:w="6613" w:type="dxa"/>
            <w:tcBorders>
              <w:left w:val="single" w:sz="8" w:space="0" w:color="000000"/>
              <w:bottom w:val="single" w:sz="8" w:space="0" w:color="000000"/>
              <w:right w:val="single" w:sz="8" w:space="0" w:color="000000"/>
            </w:tcBorders>
            <w:shd w:fill="auto" w:val="clear"/>
          </w:tcPr>
          <w:p>
            <w:pPr>
              <w:pStyle w:val="Normal"/>
              <w:widowControl w:val="false"/>
              <w:shd w:val="clear" w:fill="FFFFFF"/>
              <w:rPr>
                <w:sz w:val="24"/>
                <w:szCs w:val="24"/>
              </w:rPr>
            </w:pPr>
            <w:r>
              <w:rPr>
                <w:rFonts w:cs="Times New Roman" w:ascii="Times New Roman" w:hAnsi="Times New Roman"/>
                <w:sz w:val="24"/>
                <w:szCs w:val="24"/>
                <w:lang w:val="uk-UA"/>
              </w:rPr>
              <w:t>- в дровах не допускається зовнішня трухлявість та гниль.</w:t>
            </w:r>
          </w:p>
          <w:p>
            <w:pPr>
              <w:pStyle w:val="Normal"/>
              <w:widowControl w:val="false"/>
              <w:shd w:val="clear" w:fill="FFFFFF"/>
              <w:rPr>
                <w:sz w:val="24"/>
                <w:szCs w:val="24"/>
              </w:rPr>
            </w:pPr>
            <w:r>
              <w:rPr>
                <w:rFonts w:cs="Times New Roman" w:ascii="Times New Roman" w:hAnsi="Times New Roman"/>
                <w:b w:val="false"/>
                <w:bCs w:val="false"/>
                <w:i w:val="false"/>
                <w:iCs w:val="false"/>
                <w:sz w:val="24"/>
                <w:szCs w:val="24"/>
                <w:shd w:fill="auto" w:val="clear"/>
                <w:lang w:val="uk-UA"/>
              </w:rPr>
              <w:t>- дрова можуть бути як в корі, так і без кори.</w:t>
            </w:r>
          </w:p>
          <w:p>
            <w:pPr>
              <w:pStyle w:val="Normal"/>
              <w:widowControl w:val="false"/>
              <w:shd w:val="clear" w:fill="FFFFFF"/>
              <w:jc w:val="both"/>
              <w:rPr>
                <w:sz w:val="24"/>
                <w:szCs w:val="24"/>
              </w:rPr>
            </w:pPr>
            <w:r>
              <w:rPr>
                <w:rFonts w:cs="Times New Roman" w:ascii="Times New Roman" w:hAnsi="Times New Roman"/>
                <w:sz w:val="24"/>
                <w:szCs w:val="24"/>
                <w:lang w:val="uk-UA"/>
              </w:rPr>
              <w:t>- довжина деревини до 2,0 м (допустиме відхилення по довжині +/- 0,1 м)</w:t>
            </w:r>
          </w:p>
          <w:p>
            <w:pPr>
              <w:pStyle w:val="Normal"/>
              <w:widowControl w:val="false"/>
              <w:shd w:val="clear" w:fill="FFFFFF"/>
              <w:rPr>
                <w:sz w:val="24"/>
                <w:szCs w:val="24"/>
              </w:rPr>
            </w:pPr>
            <w:r>
              <w:rPr>
                <w:rFonts w:cs="Times New Roman" w:ascii="Times New Roman" w:hAnsi="Times New Roman"/>
                <w:sz w:val="24"/>
                <w:szCs w:val="24"/>
                <w:lang w:val="uk-UA"/>
              </w:rPr>
              <w:t>- діаметр деревини до 40 см.</w:t>
            </w:r>
          </w:p>
          <w:p>
            <w:pPr>
              <w:pStyle w:val="Normal"/>
              <w:widowControl w:val="false"/>
              <w:shd w:val="clear" w:fill="FFFFFF"/>
              <w:rPr>
                <w:sz w:val="24"/>
                <w:szCs w:val="24"/>
              </w:rPr>
            </w:pPr>
            <w:r>
              <w:rPr>
                <w:rFonts w:cs="Times New Roman" w:ascii="Times New Roman" w:hAnsi="Times New Roman"/>
                <w:sz w:val="24"/>
                <w:szCs w:val="24"/>
                <w:lang w:val="uk-UA"/>
              </w:rPr>
              <w:t>- вологість деревини не повинна перевищувати 30%.</w:t>
            </w:r>
          </w:p>
          <w:p>
            <w:pPr>
              <w:pStyle w:val="Normal"/>
              <w:widowControl w:val="false"/>
              <w:shd w:val="clear" w:fill="FFFFFF"/>
              <w:spacing w:lineRule="auto" w:line="240" w:before="0" w:after="0"/>
              <w:jc w:val="both"/>
              <w:rPr>
                <w:sz w:val="24"/>
                <w:szCs w:val="24"/>
              </w:rPr>
            </w:pPr>
            <w:r>
              <w:rPr>
                <w:rFonts w:cs="Times New Roman" w:ascii="Times New Roman" w:hAnsi="Times New Roman"/>
                <w:b w:val="false"/>
                <w:bCs w:val="false"/>
                <w:i w:val="false"/>
                <w:iCs w:val="false"/>
                <w:sz w:val="24"/>
                <w:szCs w:val="24"/>
                <w:shd w:fill="auto" w:val="clear"/>
                <w:lang w:val="uk-UA"/>
              </w:rPr>
              <w:t>- дрова повинні бути очищені від сучків. Висота сучків, що залишаються, не повинна перевищувати 30 мм.</w:t>
            </w:r>
          </w:p>
          <w:p>
            <w:pPr>
              <w:pStyle w:val="Normal"/>
              <w:widowControl w:val="false"/>
              <w:shd w:val="clear" w:fill="FFFFFF"/>
              <w:spacing w:lineRule="auto" w:line="240" w:before="0" w:after="0"/>
              <w:jc w:val="both"/>
              <w:rPr>
                <w:rFonts w:ascii="Times New Roman" w:hAnsi="Times New Roman" w:cs="Times New Roman"/>
                <w:b w:val="false"/>
                <w:b w:val="false"/>
                <w:bCs w:val="false"/>
                <w:i w:val="false"/>
                <w:i w:val="false"/>
                <w:iCs w:val="false"/>
                <w:sz w:val="24"/>
                <w:szCs w:val="24"/>
                <w:highlight w:val="none"/>
                <w:shd w:fill="auto" w:val="clear"/>
                <w:lang w:val="uk-UA"/>
              </w:rPr>
            </w:pPr>
            <w:r>
              <w:rPr>
                <w:rFonts w:cs="Times New Roman" w:ascii="Times New Roman" w:hAnsi="Times New Roman"/>
                <w:b w:val="false"/>
                <w:bCs w:val="false"/>
                <w:i w:val="false"/>
                <w:iCs w:val="false"/>
                <w:sz w:val="24"/>
                <w:szCs w:val="24"/>
                <w:shd w:fill="auto" w:val="clear"/>
                <w:lang w:val="uk-UA"/>
              </w:rPr>
            </w:r>
          </w:p>
        </w:tc>
      </w:tr>
    </w:tbl>
    <w:p>
      <w:pPr>
        <w:pStyle w:val="Normal"/>
        <w:shd w:val="clear" w:color="auto" w:fill="FFFFFF"/>
        <w:tabs>
          <w:tab w:val="clear" w:pos="720"/>
          <w:tab w:val="left" w:pos="-15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highlight w:val="none"/>
          <w:shd w:fill="auto" w:val="clear"/>
        </w:rPr>
      </w:pPr>
      <w:r>
        <w:rPr>
          <w:shd w:fill="auto" w:val="clear"/>
        </w:rPr>
      </w:r>
    </w:p>
    <w:p>
      <w:pPr>
        <w:pStyle w:val="Normal"/>
        <w:shd w:val="clear" w:fill="FFFFFF"/>
        <w:spacing w:lineRule="auto" w:line="240" w:before="0" w:after="0"/>
        <w:ind w:firstLine="460"/>
        <w:jc w:val="both"/>
        <w:rPr>
          <w:sz w:val="22"/>
          <w:szCs w:val="22"/>
        </w:rPr>
      </w:pPr>
      <w:r>
        <w:rPr>
          <w:rFonts w:eastAsia="Times New Roman" w:cs="Times New Roman" w:ascii="Times New Roman" w:hAnsi="Times New Roman"/>
          <w:sz w:val="22"/>
          <w:szCs w:val="22"/>
          <w:lang w:val="ru-RU"/>
        </w:rPr>
        <w:t xml:space="preserve">Товар  постачається окремими партіями протягом загального строку поставки за заявками Замовника. </w:t>
      </w:r>
      <w:r>
        <w:rPr>
          <w:rFonts w:eastAsia="Times New Roman" w:cs="Times New Roman" w:ascii="Times New Roman" w:hAnsi="Times New Roman"/>
          <w:sz w:val="22"/>
          <w:szCs w:val="22"/>
        </w:rPr>
        <w:t>Заявка направляється Замовником у доступній формі (телефоном, письмово, факсом, електронною поштою тощо).</w:t>
      </w:r>
    </w:p>
    <w:p>
      <w:pPr>
        <w:pStyle w:val="Normal"/>
        <w:shd w:val="clear" w:fill="FFFFFF"/>
        <w:spacing w:lineRule="auto" w:line="240" w:before="0" w:after="0"/>
        <w:ind w:firstLine="460"/>
        <w:jc w:val="both"/>
        <w:rPr>
          <w:sz w:val="20"/>
          <w:szCs w:val="20"/>
        </w:rPr>
      </w:pPr>
      <w:r>
        <w:rPr>
          <w:sz w:val="20"/>
          <w:szCs w:val="20"/>
        </w:rPr>
      </w:r>
    </w:p>
    <w:p>
      <w:pPr>
        <w:pStyle w:val="Normal"/>
        <w:shd w:val="clear" w:fill="FFFFFF"/>
        <w:spacing w:lineRule="auto" w:line="240" w:before="0" w:after="0"/>
        <w:ind w:firstLine="460"/>
        <w:jc w:val="both"/>
        <w:rPr>
          <w:sz w:val="20"/>
          <w:szCs w:val="20"/>
        </w:rPr>
      </w:pPr>
      <w:r>
        <w:rPr>
          <w:rFonts w:eastAsia="Times New Roman" w:cs="Times New Roman" w:ascii="Times New Roman" w:hAnsi="Times New Roman"/>
          <w:sz w:val="20"/>
          <w:szCs w:val="20"/>
        </w:rPr>
        <w:t xml:space="preserve">Замовник самостійно визначає необхідні технічні характеристики предмета закупівлі з </w:t>
      </w:r>
      <w:r>
        <w:rPr>
          <w:rFonts w:eastAsia="Times New Roman" w:cs="Times New Roman" w:ascii="Times New Roman" w:hAnsi="Times New Roman"/>
          <w:sz w:val="20"/>
          <w:szCs w:val="20"/>
          <w:shd w:fill="auto" w:val="clear"/>
        </w:rPr>
        <w:t>огляду на специфіку предмета закупівлі, керуючись принципами здійснення закупівель та з дотриманням законодавства.</w:t>
      </w:r>
    </w:p>
    <w:p>
      <w:pPr>
        <w:pStyle w:val="Normal"/>
        <w:shd w:val="clear" w:fill="FFFFFF"/>
        <w:spacing w:lineRule="auto" w:line="240" w:before="0" w:after="0"/>
        <w:ind w:firstLine="460"/>
        <w:jc w:val="both"/>
        <w:rPr>
          <w:sz w:val="20"/>
          <w:szCs w:val="20"/>
        </w:rPr>
      </w:pPr>
      <w:r>
        <w:rPr>
          <w:rFonts w:eastAsia="Times New Roman" w:cs="Times New Roman" w:ascii="Times New Roman" w:hAnsi="Times New Roman"/>
          <w:b w:val="false"/>
          <w:bCs w:val="false"/>
          <w:sz w:val="20"/>
          <w:szCs w:val="20"/>
          <w:shd w:fill="auto" w:val="clear"/>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pPr>
        <w:pStyle w:val="Normal"/>
        <w:shd w:val="clear" w:fill="FFFFFF"/>
        <w:spacing w:lineRule="auto" w:line="240" w:before="0" w:after="0"/>
        <w:ind w:hanging="0"/>
        <w:jc w:val="both"/>
        <w:rPr>
          <w:sz w:val="20"/>
          <w:szCs w:val="20"/>
        </w:rPr>
      </w:pPr>
      <w:r>
        <w:rPr>
          <w:rFonts w:eastAsia="Times New Roman" w:cs="Times New Roman" w:ascii="Times New Roman" w:hAnsi="Times New Roman"/>
          <w:i w:val="false"/>
          <w:iCs w:val="false"/>
          <w:color w:val="111111"/>
          <w:sz w:val="20"/>
          <w:szCs w:val="20"/>
          <w:shd w:fill="auto" w:val="clear"/>
        </w:rPr>
        <w:tab/>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shd w:val="clear" w:fill="FFFFFF"/>
        <w:spacing w:lineRule="auto" w:line="240" w:before="0" w:after="0"/>
        <w:ind w:left="0" w:hanging="0"/>
        <w:jc w:val="both"/>
        <w:rPr>
          <w:sz w:val="20"/>
          <w:szCs w:val="20"/>
        </w:rPr>
      </w:pPr>
      <w:r>
        <w:rPr>
          <w:rFonts w:eastAsia="Times New Roman" w:cs="Times New Roman" w:ascii="Times New Roman" w:hAnsi="Times New Roman"/>
          <w:i w:val="false"/>
          <w:iCs w:val="false"/>
          <w:color w:val="111111"/>
          <w:sz w:val="20"/>
          <w:szCs w:val="20"/>
          <w:shd w:fill="auto" w:val="clear"/>
        </w:rPr>
        <w:tab/>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p>
    <w:p>
      <w:pPr>
        <w:pStyle w:val="Normal"/>
        <w:shd w:val="clear" w:fill="FFFFFF"/>
        <w:spacing w:lineRule="auto" w:line="240" w:before="0" w:after="0"/>
        <w:ind w:firstLine="460"/>
        <w:jc w:val="both"/>
        <w:rPr>
          <w:sz w:val="20"/>
          <w:szCs w:val="20"/>
        </w:rPr>
      </w:pPr>
      <w:r>
        <w:rPr>
          <w:rFonts w:ascii="Times New Roman" w:hAnsi="Times New Roman"/>
          <w:sz w:val="20"/>
          <w:szCs w:val="20"/>
        </w:rPr>
        <w:t xml:space="preserve"> </w:t>
      </w:r>
      <w:r>
        <w:rPr>
          <w:rFonts w:ascii="Times New Roman" w:hAnsi="Times New Roman"/>
          <w:color w:val="auto"/>
          <w:sz w:val="20"/>
          <w:szCs w:val="20"/>
        </w:rPr>
        <w:t>Товар повинен бути новим, таким, що не був у використан</w:t>
      </w:r>
      <w:r>
        <w:rPr>
          <w:rFonts w:ascii="Times New Roman" w:hAnsi="Times New Roman"/>
          <w:color w:val="auto"/>
          <w:sz w:val="20"/>
          <w:szCs w:val="20"/>
          <w:lang w:val="ru-RU"/>
        </w:rPr>
        <w:t>н</w:t>
      </w:r>
      <w:r>
        <w:rPr>
          <w:rFonts w:ascii="Times New Roman" w:hAnsi="Times New Roman"/>
          <w:color w:val="auto"/>
          <w:sz w:val="20"/>
          <w:szCs w:val="20"/>
        </w:rPr>
        <w:t>і.</w:t>
      </w:r>
    </w:p>
    <w:p>
      <w:pPr>
        <w:pStyle w:val="Style13"/>
        <w:spacing w:lineRule="auto" w:line="271" w:before="0" w:after="0"/>
        <w:jc w:val="both"/>
        <w:rPr>
          <w:sz w:val="20"/>
          <w:szCs w:val="20"/>
        </w:rPr>
      </w:pPr>
      <w:r>
        <w:rPr>
          <w:rFonts w:ascii="Times New Roman" w:hAnsi="Times New Roman"/>
          <w:color w:val="auto"/>
          <w:sz w:val="20"/>
          <w:szCs w:val="20"/>
        </w:rPr>
        <w:tab/>
        <w:t xml:space="preserve">Гарантійний термін експлуатації на Товар, що поставляється, складає </w:t>
      </w:r>
      <w:r>
        <w:rPr>
          <w:rFonts w:cs="Times New Roman" w:ascii="Times New Roman" w:hAnsi="Times New Roman"/>
          <w:color w:val="auto"/>
          <w:sz w:val="20"/>
          <w:szCs w:val="20"/>
        </w:rPr>
        <w:t>не менше гарантійного строку заводу-виробника.</w:t>
      </w:r>
      <w:r>
        <w:rPr>
          <w:rFonts w:ascii="Times New Roman" w:hAnsi="Times New Roman"/>
          <w:color w:val="auto"/>
          <w:sz w:val="20"/>
          <w:szCs w:val="20"/>
        </w:rPr>
        <w:t xml:space="preserve"> Учасник гарантує працездатність Товару відповідно до його технічних характеристик впродовж усього гарантійного терміну експлуатації, окрім випадків псування, пов'язаних з недотриманням умов зберігання і порушенням умов експлуатації.</w:t>
      </w:r>
    </w:p>
    <w:p>
      <w:pPr>
        <w:pStyle w:val="LOnormal"/>
        <w:spacing w:lineRule="auto" w:line="252" w:before="0" w:after="0"/>
        <w:jc w:val="both"/>
        <w:rPr>
          <w:sz w:val="20"/>
          <w:szCs w:val="20"/>
        </w:rPr>
      </w:pPr>
      <w:r>
        <w:rPr>
          <w:rFonts w:cs="Times New Roman" w:ascii="Times New Roman" w:hAnsi="Times New Roman"/>
          <w:color w:val="auto"/>
          <w:sz w:val="20"/>
          <w:szCs w:val="20"/>
          <w:lang w:val="ru-RU"/>
        </w:rPr>
        <w:tab/>
      </w:r>
      <w:r>
        <w:rPr>
          <w:rFonts w:cs="Times New Roman" w:ascii="Times New Roman" w:hAnsi="Times New Roman"/>
          <w:color w:val="auto"/>
          <w:sz w:val="20"/>
          <w:szCs w:val="20"/>
        </w:rPr>
        <w:t>Транспортування, доставка та вивантаження Товару до місця призначення відбувається за рахунок та силами учасника-переможця.</w:t>
      </w:r>
    </w:p>
    <w:p>
      <w:pPr>
        <w:pStyle w:val="Standard"/>
        <w:tabs>
          <w:tab w:val="clear" w:pos="720"/>
          <w:tab w:val="left" w:pos="426" w:leader="none"/>
        </w:tabs>
        <w:suppressAutoHyphens w:val="false"/>
        <w:jc w:val="both"/>
        <w:rPr>
          <w:sz w:val="20"/>
          <w:szCs w:val="20"/>
        </w:rPr>
      </w:pPr>
      <w:r>
        <w:rPr>
          <w:rFonts w:cs="Times New Roman" w:ascii="Times New Roman" w:hAnsi="Times New Roman"/>
          <w:color w:val="auto"/>
          <w:sz w:val="20"/>
          <w:szCs w:val="20"/>
          <w:lang w:val="uk-UA"/>
        </w:rPr>
        <w:tab/>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Standard"/>
        <w:jc w:val="both"/>
        <w:rPr>
          <w:rFonts w:ascii="Times New Roman" w:hAnsi="Times New Roman" w:cs="Times New Roman"/>
          <w:color w:val="auto"/>
          <w:lang w:val="uk-UA"/>
        </w:rPr>
      </w:pPr>
      <w:r>
        <w:rPr>
          <w:rFonts w:cs="Times New Roman" w:ascii="Times New Roman" w:hAnsi="Times New Roman"/>
          <w:color w:val="auto"/>
          <w:sz w:val="20"/>
          <w:szCs w:val="20"/>
          <w:lang w:val="uk-UA"/>
        </w:rPr>
        <w:tab/>
        <w:t>Запропонований товар повинен відповідати вимогам відповідних діючих нормативних документів (ДСТУ, ТУ тощо).</w:t>
      </w:r>
    </w:p>
    <w:p>
      <w:pPr>
        <w:pStyle w:val="Normal"/>
        <w:spacing w:lineRule="auto" w:line="240" w:before="0" w:after="0"/>
        <w:jc w:val="both"/>
        <w:rPr>
          <w:rFonts w:ascii="Times New Roman" w:hAnsi="Times New Roman"/>
          <w:b/>
          <w:b/>
          <w:color w:val="auto"/>
          <w:sz w:val="20"/>
          <w:szCs w:val="20"/>
        </w:rPr>
      </w:pPr>
      <w:r>
        <w:rPr>
          <w:rFonts w:ascii="Times New Roman" w:hAnsi="Times New Roman"/>
          <w:b/>
          <w:color w:val="auto"/>
          <w:sz w:val="20"/>
          <w:szCs w:val="20"/>
        </w:rPr>
      </w:r>
    </w:p>
    <w:p>
      <w:pPr>
        <w:pStyle w:val="Normal"/>
        <w:spacing w:lineRule="auto" w:line="240" w:before="0" w:after="0"/>
        <w:ind w:hanging="0"/>
        <w:jc w:val="both"/>
        <w:rPr/>
      </w:pPr>
      <w:r>
        <w:rPr/>
      </w:r>
    </w:p>
    <w:sectPr>
      <w:type w:val="nextPage"/>
      <w:pgSz w:w="11906" w:h="16838"/>
      <w:pgMar w:left="1417" w:right="850" w:gutter="0" w:header="0" w:top="426" w:footer="0" w:bottom="85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9" w:customStyle="1">
    <w:name w:val="Текст примечания Знак"/>
    <w:basedOn w:val="DefaultParagraphFont"/>
    <w:link w:val="Annotationtext"/>
    <w:uiPriority w:val="99"/>
    <w:semiHidden/>
    <w:qFormat/>
    <w:rsid w:val="00172dab"/>
    <w:rPr>
      <w:sz w:val="20"/>
      <w:szCs w:val="20"/>
    </w:rPr>
  </w:style>
  <w:style w:type="character" w:styleId="Style10" w:customStyle="1">
    <w:name w:val="Тема примечания Знак"/>
    <w:basedOn w:val="Style9"/>
    <w:link w:val="Annotationsubject"/>
    <w:uiPriority w:val="99"/>
    <w:semiHidden/>
    <w:qFormat/>
    <w:rsid w:val="00172dab"/>
    <w:rPr>
      <w:b/>
      <w:bCs/>
      <w:sz w:val="20"/>
      <w:szCs w:val="20"/>
    </w:rPr>
  </w:style>
  <w:style w:type="character" w:styleId="Style11" w:customStyle="1">
    <w:name w:val="Текст выноски Знак"/>
    <w:basedOn w:val="DefaultParagraphFont"/>
    <w:link w:val="BalloonText"/>
    <w:uiPriority w:val="99"/>
    <w:semiHidden/>
    <w:qFormat/>
    <w:rsid w:val="00172dab"/>
    <w:rPr>
      <w:rFonts w:ascii="Segoe UI" w:hAnsi="Segoe UI" w:cs="Segoe UI"/>
      <w:sz w:val="18"/>
      <w:szCs w:val="18"/>
    </w:rPr>
  </w:style>
  <w:style w:type="character" w:styleId="Arial2">
    <w:name w:val="Основной текст + Arial2"/>
    <w:qFormat/>
    <w:rPr>
      <w:rFonts w:ascii="Arial" w:hAnsi="Arial" w:eastAsia="Courier New" w:cs="Arial"/>
      <w:b/>
      <w:bCs/>
      <w:i/>
      <w:iCs/>
      <w:color w:val="000000"/>
      <w:sz w:val="17"/>
      <w:szCs w:val="17"/>
      <w:shd w:fill="FFFFFF" w:val="clear"/>
      <w:lang w:val="uk-UA" w:eastAsia="uk-UA"/>
    </w:rPr>
  </w:style>
  <w:style w:type="paragraph" w:styleId="Style12">
    <w:name w:val="Заголовок"/>
    <w:basedOn w:val="Normal"/>
    <w:next w:val="Style13"/>
    <w:qFormat/>
    <w:pPr>
      <w:keepNext w:val="true"/>
      <w:spacing w:before="240" w:after="120"/>
    </w:pPr>
    <w:rPr>
      <w:rFonts w:ascii="Liberation Sans" w:hAnsi="Liberation Sans" w:eastAsia="Noto Sans CJK SC" w:cs="Lohit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Покажчик"/>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Style18">
    <w:name w:val="Subtitle"/>
    <w:basedOn w:val="LOnormal"/>
    <w:next w:val="LOnormal"/>
    <w:uiPriority w:val="11"/>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Rvps2" w:customStyle="1">
    <w:name w:val="rvps2"/>
    <w:basedOn w:val="Normal"/>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Style9"/>
    <w:uiPriority w:val="99"/>
    <w:semiHidden/>
    <w:unhideWhenUsed/>
    <w:qFormat/>
    <w:rsid w:val="00172dab"/>
    <w:pPr>
      <w:spacing w:lineRule="auto" w:line="240"/>
    </w:pPr>
    <w:rPr>
      <w:sz w:val="20"/>
      <w:szCs w:val="20"/>
    </w:rPr>
  </w:style>
  <w:style w:type="paragraph" w:styleId="Annotationsubject">
    <w:name w:val="annotation subject"/>
    <w:basedOn w:val="Annotationtext"/>
    <w:next w:val="Annotationtext"/>
    <w:link w:val="Style10"/>
    <w:uiPriority w:val="99"/>
    <w:semiHidden/>
    <w:unhideWhenUsed/>
    <w:qFormat/>
    <w:rsid w:val="00172dab"/>
    <w:pPr/>
    <w:rPr>
      <w:b/>
      <w:bCs/>
    </w:rPr>
  </w:style>
  <w:style w:type="paragraph" w:styleId="BalloonText">
    <w:name w:val="Balloon Text"/>
    <w:basedOn w:val="Normal"/>
    <w:link w:val="Style11"/>
    <w:uiPriority w:val="99"/>
    <w:semiHidden/>
    <w:unhideWhenUsed/>
    <w:qFormat/>
    <w:rsid w:val="00172dab"/>
    <w:pPr>
      <w:spacing w:lineRule="auto" w:line="240" w:before="0" w:after="0"/>
    </w:pPr>
    <w:rPr>
      <w:rFonts w:ascii="Segoe UI" w:hAnsi="Segoe UI" w:cs="Segoe UI"/>
      <w:sz w:val="18"/>
      <w:szCs w:val="18"/>
    </w:rPr>
  </w:style>
  <w:style w:type="paragraph" w:styleId="Style19">
    <w:name w:val="Вміст таблиці"/>
    <w:basedOn w:val="Normal"/>
    <w:qFormat/>
    <w:pPr>
      <w:widowControl w:val="false"/>
      <w:suppressLineNumbers/>
    </w:pPr>
    <w:rPr/>
  </w:style>
  <w:style w:type="paragraph" w:styleId="Style20">
    <w:name w:val="Заголовок таблиці"/>
    <w:basedOn w:val="Style19"/>
    <w:qFormat/>
    <w:pPr>
      <w:suppressLineNumbers/>
      <w:jc w:val="center"/>
    </w:pPr>
    <w:rPr>
      <w:b/>
      <w:bCs/>
    </w:rPr>
  </w:style>
  <w:style w:type="paragraph" w:styleId="Standard">
    <w:name w:val="Standard"/>
    <w:qFormat/>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7">
    <w:name w:val="Table Grid"/>
    <w:basedOn w:val="a1"/>
    <w:uiPriority w:val="39"/>
    <w:rsid w:val="009e65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87</TotalTime>
  <Application>LibreOffice/7.3.7.2$Linux_X86_64 LibreOffice_project/30$Build-2</Application>
  <AppVersion>15.0000</AppVersion>
  <Pages>2</Pages>
  <Words>499</Words>
  <Characters>3403</Characters>
  <CharactersWithSpaces>3885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creator>userua12</dc:creator>
  <dc:description/>
  <dc:language>uk-UA</dc:language>
  <cp:lastModifiedBy/>
  <dcterms:modified xsi:type="dcterms:W3CDTF">2024-03-20T17:38:41Z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