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00" w:rsidRDefault="00380E21">
      <w:pPr>
        <w:ind w:left="7728" w:right="-25" w:firstLine="210"/>
        <w:jc w:val="right"/>
        <w:rPr>
          <w:b/>
          <w:i/>
        </w:rPr>
      </w:pPr>
      <w:r>
        <w:rPr>
          <w:b/>
          <w:i/>
        </w:rPr>
        <w:t>Додаток 1</w:t>
      </w:r>
    </w:p>
    <w:p w:rsidR="00827F00" w:rsidRDefault="00380E21">
      <w:pPr>
        <w:ind w:left="6372"/>
        <w:jc w:val="right"/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до тендерної документації</w:t>
      </w:r>
    </w:p>
    <w:p w:rsidR="00827F00" w:rsidRDefault="00827F00">
      <w:pPr>
        <w:ind w:left="7728" w:right="-25" w:firstLine="210"/>
        <w:jc w:val="right"/>
        <w:rPr>
          <w:i/>
        </w:rPr>
      </w:pPr>
    </w:p>
    <w:p w:rsidR="00827F00" w:rsidRDefault="00827F00">
      <w:pPr>
        <w:spacing w:before="200"/>
        <w:jc w:val="center"/>
        <w:rPr>
          <w:b/>
        </w:rPr>
      </w:pPr>
    </w:p>
    <w:p w:rsidR="00827F00" w:rsidRDefault="00827F00">
      <w:pPr>
        <w:spacing w:before="200"/>
        <w:jc w:val="center"/>
        <w:rPr>
          <w:b/>
        </w:rPr>
      </w:pPr>
    </w:p>
    <w:p w:rsidR="00827F00" w:rsidRDefault="00380E21">
      <w:pPr>
        <w:spacing w:before="200"/>
        <w:jc w:val="center"/>
        <w:rPr>
          <w:b/>
        </w:rPr>
      </w:pPr>
      <w:r>
        <w:rPr>
          <w:b/>
        </w:rPr>
        <w:t xml:space="preserve">ДОКУМЕНТИ, </w:t>
      </w:r>
      <w:r>
        <w:rPr>
          <w:b/>
        </w:rPr>
        <w:br/>
        <w:t xml:space="preserve">ЩО ПОДАЮТЬСЯ НА ПІДТВЕРДЖЕННЯ ВІДПОВІДНОСТІ УЧАСНИКІВ УСТАНОВЛЕНИМ КВАЛІФІКАЦІЙНИМ КРИТЕРІЯМ ТА НА ПІДТВЕРДЖЕННЯ ВІДСУТНОСТІ ІІІДСТАВ, ВСТАНОВЛЕНИХ СТАТТЕЮ 17 ЗАКОНУ </w:t>
      </w:r>
    </w:p>
    <w:p w:rsidR="00827F00" w:rsidRDefault="00380E21">
      <w:pPr>
        <w:spacing w:before="120" w:after="60"/>
        <w:ind w:firstLine="567"/>
      </w:pPr>
      <w:r>
        <w:t>Кваліфікаційні критерії до учасників встановлюються згідно зi статтею 16 Закону України «Про публічні закупівлі» (далі – Закон)</w:t>
      </w:r>
    </w:p>
    <w:p w:rsidR="00827F00" w:rsidRDefault="00827F00">
      <w:pPr>
        <w:spacing w:before="120" w:after="60"/>
        <w:ind w:firstLine="567"/>
      </w:pPr>
    </w:p>
    <w:tbl>
      <w:tblPr>
        <w:tblStyle w:val="a8"/>
        <w:tblW w:w="154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5"/>
        <w:gridCol w:w="3960"/>
        <w:gridCol w:w="10665"/>
      </w:tblGrid>
      <w:tr w:rsidR="00827F00">
        <w:trPr>
          <w:trHeight w:val="31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00" w:rsidRDefault="00380E21">
            <w:pPr>
              <w:spacing w:line="254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00" w:rsidRDefault="00380E21">
            <w:pPr>
              <w:spacing w:line="254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Кваліфікаційні критерії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00" w:rsidRDefault="00380E21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Підтверджуючі документи, що надає Учасник</w:t>
            </w:r>
          </w:p>
        </w:tc>
      </w:tr>
      <w:tr w:rsidR="00827F00">
        <w:trPr>
          <w:trHeight w:val="15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00" w:rsidRDefault="00380E21">
            <w:pPr>
              <w:spacing w:line="254" w:lineRule="auto"/>
              <w:ind w:left="-54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00" w:rsidRDefault="00380E21">
            <w:pPr>
              <w:spacing w:line="256" w:lineRule="auto"/>
              <w:ind w:left="-57" w:right="-40"/>
              <w:jc w:val="left"/>
              <w:rPr>
                <w:b/>
              </w:rPr>
            </w:pPr>
            <w:r>
              <w:rPr>
                <w:b/>
                <w:color w:val="333333"/>
                <w:highlight w:val="white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Документальне підтвердження інформації </w:t>
            </w:r>
            <w:r>
              <w:rPr>
                <w:color w:val="000000"/>
                <w:highlight w:val="white"/>
              </w:rPr>
              <w:t>про наявність документально підтвердженого досвіду виконання аналогічного (аналогічних) з</w:t>
            </w:r>
            <w:r>
              <w:rPr>
                <w:color w:val="000000"/>
                <w:highlight w:val="white"/>
              </w:rPr>
              <w:t>а предметом закупівлі договору (договорів):</w:t>
            </w:r>
          </w:p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>
              <w:rPr>
                <w:color w:val="000000"/>
              </w:rPr>
              <w:t>довідка у довільній формі про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- не менше 1 копії договору у повному обсязі (з усі</w:t>
            </w:r>
            <w:r>
              <w:rPr>
                <w:color w:val="000000"/>
              </w:rPr>
              <w:t>ма укладеними додатковими угодами, додатками та</w:t>
            </w:r>
            <w:r>
              <w:rPr>
                <w:color w:val="000000"/>
                <w:highlight w:val="white"/>
              </w:rPr>
              <w:t xml:space="preserve"> специфікаціями до договору); </w:t>
            </w:r>
          </w:p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- документи, що підтверджують виконання договору (накладні або акти звірок або звіт про виконання в електронній системі закупівель тощо).</w:t>
            </w:r>
          </w:p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Аналогічним вважається договір, предмет якого аналогічний предмету закупівлі укладений на термін поставки товару не менше трьох місяців та який повністю завершений. </w:t>
            </w:r>
          </w:p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Довідка повинна містити інформацію про замовника, його повне найменування, місцезнаходженн</w:t>
            </w:r>
            <w:r>
              <w:rPr>
                <w:color w:val="000000"/>
                <w:highlight w:val="white"/>
              </w:rPr>
              <w:t>я, номер телефону контактної особи, номер, дату і суму договору тощо.</w:t>
            </w:r>
          </w:p>
        </w:tc>
      </w:tr>
    </w:tbl>
    <w:p w:rsidR="00827F00" w:rsidRDefault="00827F00">
      <w:pPr>
        <w:tabs>
          <w:tab w:val="left" w:pos="8175"/>
        </w:tabs>
        <w:jc w:val="right"/>
        <w:rPr>
          <w:sz w:val="10"/>
          <w:szCs w:val="10"/>
        </w:rPr>
      </w:pPr>
    </w:p>
    <w:p w:rsidR="00827F00" w:rsidRDefault="00380E21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827F00">
      <w:pPr>
        <w:widowControl w:val="0"/>
        <w:tabs>
          <w:tab w:val="left" w:pos="8070"/>
        </w:tabs>
        <w:ind w:firstLine="281"/>
        <w:rPr>
          <w:b/>
          <w:sz w:val="21"/>
          <w:szCs w:val="21"/>
        </w:rPr>
      </w:pPr>
    </w:p>
    <w:p w:rsidR="00827F00" w:rsidRDefault="00380E21">
      <w:pPr>
        <w:ind w:hanging="2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Інформація про відсутність підстав,  визначених у статті 17 Закону </w:t>
      </w:r>
    </w:p>
    <w:p w:rsidR="00827F00" w:rsidRDefault="00827F00">
      <w:pPr>
        <w:ind w:hanging="2"/>
        <w:jc w:val="center"/>
        <w:rPr>
          <w:b/>
        </w:rPr>
      </w:pPr>
      <w:bookmarkStart w:id="1" w:name="_heading=h.fwsep0zbzkmv" w:colFirst="0" w:colLast="0"/>
      <w:bookmarkEnd w:id="1"/>
    </w:p>
    <w:p w:rsidR="00827F00" w:rsidRDefault="00380E21">
      <w:pPr>
        <w:shd w:val="clear" w:color="auto" w:fill="FFFFFF"/>
        <w:spacing w:after="150"/>
        <w:ind w:firstLine="567"/>
        <w:rPr>
          <w:u w:val="single"/>
        </w:rPr>
      </w:pPr>
      <w:r>
        <w:rPr>
          <w:u w:val="single"/>
        </w:rPr>
        <w:t>Замовник встановлює в тендерній документації вимоги до учасників щодо підтвердження відсутності підстав, для відмови в участі у процедурі закупівлі, зазначених у статті 17 Закону:</w:t>
      </w:r>
    </w:p>
    <w:p w:rsidR="00827F00" w:rsidRDefault="00380E21">
      <w:pPr>
        <w:ind w:firstLine="567"/>
      </w:pPr>
      <w:r>
        <w:rPr>
          <w:highlight w:val="white"/>
        </w:rPr>
        <w:t>Замовник не вимагає документального підтвердження публічної інформації, що о</w:t>
      </w:r>
      <w:r>
        <w:rPr>
          <w:highlight w:val="white"/>
        </w:rPr>
        <w:t>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827F00" w:rsidRDefault="00380E21">
      <w:pPr>
        <w:shd w:val="clear" w:color="auto" w:fill="FFFFFF"/>
        <w:spacing w:after="240"/>
        <w:ind w:firstLine="420"/>
        <w:rPr>
          <w:b/>
        </w:rPr>
      </w:pPr>
      <w:r>
        <w:t>В</w:t>
      </w:r>
      <w:r>
        <w:t xml:space="preserve">ідповідно до ч. 6 ст. 17 Закону 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</w:t>
      </w:r>
      <w:r>
        <w:rPr>
          <w:b/>
        </w:rPr>
        <w:t>повинен надати замовнику документи шляхом оприлюд</w:t>
      </w:r>
      <w:r>
        <w:rPr>
          <w:b/>
        </w:rPr>
        <w:t>нення їх в електронній системі закупівель, що підтверджують відсутність підстав, визначених пунктами 2, 3, 5, 6, 8, 12 і 13 частини першої та частиною другою цієї статті</w:t>
      </w:r>
      <w:r>
        <w:t xml:space="preserve">. </w:t>
      </w:r>
    </w:p>
    <w:tbl>
      <w:tblPr>
        <w:tblStyle w:val="a9"/>
        <w:tblW w:w="15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8"/>
        <w:gridCol w:w="3552"/>
        <w:gridCol w:w="1260"/>
        <w:gridCol w:w="4875"/>
        <w:gridCol w:w="5096"/>
      </w:tblGrid>
      <w:tr w:rsidR="00827F00">
        <w:trPr>
          <w:cantSplit/>
          <w:trHeight w:val="1134"/>
          <w:tblHeader/>
        </w:trPr>
        <w:tc>
          <w:tcPr>
            <w:tcW w:w="619" w:type="dxa"/>
            <w:vAlign w:val="center"/>
          </w:tcPr>
          <w:p w:rsidR="00827F00" w:rsidRDefault="00380E21">
            <w:pPr>
              <w:ind w:left="-142" w:right="-1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3552" w:type="dxa"/>
            <w:vAlign w:val="center"/>
          </w:tcPr>
          <w:p w:rsidR="00827F00" w:rsidRDefault="00380E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Підстава для відмови в участі</w:t>
            </w:r>
            <w:r>
              <w:rPr>
                <w:b/>
                <w:color w:val="000000"/>
              </w:rPr>
              <w:br/>
              <w:t>у процедурі закупівлі</w:t>
            </w:r>
          </w:p>
        </w:tc>
        <w:tc>
          <w:tcPr>
            <w:tcW w:w="1260" w:type="dxa"/>
            <w:vAlign w:val="center"/>
          </w:tcPr>
          <w:p w:rsidR="00827F00" w:rsidRDefault="00380E21">
            <w:pPr>
              <w:ind w:left="113" w:right="1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Норма Закону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Спосіб докуме</w:t>
            </w:r>
            <w:r>
              <w:rPr>
                <w:b/>
              </w:rPr>
              <w:t>нтального підтвердження учасником</w:t>
            </w:r>
          </w:p>
        </w:tc>
        <w:tc>
          <w:tcPr>
            <w:tcW w:w="5096" w:type="dxa"/>
            <w:vAlign w:val="center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Спосіб документального підтвердження переможцем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1.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242424"/>
              </w:rPr>
            </w:pPr>
            <w:r>
              <w:rPr>
                <w:color w:val="000000"/>
                <w:highlight w:val="white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</w:t>
            </w:r>
            <w:r>
              <w:rPr>
                <w:color w:val="000000"/>
                <w:highlight w:val="white"/>
              </w:rPr>
              <w:t>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п.1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 xml:space="preserve">Підтвердження не вимагається </w:t>
            </w:r>
          </w:p>
          <w:p w:rsidR="00827F00" w:rsidRDefault="00827F00">
            <w:pPr>
              <w:rPr>
                <w:b/>
              </w:rPr>
            </w:pP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 xml:space="preserve">Підтвердження не вимагається </w:t>
            </w:r>
          </w:p>
          <w:p w:rsidR="00827F00" w:rsidRDefault="00827F00">
            <w:pPr>
              <w:rPr>
                <w:b/>
              </w:rPr>
            </w:pP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lastRenderedPageBreak/>
              <w:t>2.</w:t>
            </w:r>
          </w:p>
        </w:tc>
        <w:tc>
          <w:tcPr>
            <w:tcW w:w="3552" w:type="dxa"/>
            <w:vAlign w:val="center"/>
          </w:tcPr>
          <w:p w:rsidR="00827F00" w:rsidRDefault="00380E21">
            <w:pPr>
              <w:rPr>
                <w:b/>
                <w:color w:val="242424"/>
              </w:rPr>
            </w:pPr>
            <w:r>
              <w:rPr>
                <w:color w:val="000000"/>
                <w:highlight w:val="white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1260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rPr>
                <w:b/>
              </w:rPr>
              <w:t>п.2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>юридичну особу, яка є учасн</w:t>
            </w:r>
            <w:r>
              <w:rPr>
                <w:color w:val="000000"/>
                <w:highlight w:val="white"/>
              </w:rPr>
              <w:t>иком процедури закупівлі, внесено/не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5096" w:type="dxa"/>
          </w:tcPr>
          <w:p w:rsidR="00827F00" w:rsidRDefault="00380E21">
            <w:r>
              <w:t>Переможець надає надає витяг з Єдиного державного реєстру осіб, які вчинили корупційні або пов’язані з корупціє</w:t>
            </w:r>
            <w:r>
              <w:t xml:space="preserve">ю правопорушення або індивідуальну довідку, отриману на сайті НАЗК та сформовану на основі пошуку записів в реєстрі за кодом ЄДРПОУ, що зчитується з КЕП. </w:t>
            </w:r>
          </w:p>
          <w:p w:rsidR="00827F00" w:rsidRDefault="00827F00">
            <w:pPr>
              <w:pStyle w:val="1"/>
              <w:spacing w:before="0" w:line="240" w:lineRule="auto"/>
              <w:ind w:left="1" w:hanging="3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5">
              <w:r w:rsidR="00380E21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u w:val="single"/>
                </w:rPr>
                <w:t>https://corruptinfo.nazk.gov.ua/reference/getpersonalreference/legal</w:t>
              </w:r>
            </w:hyperlink>
            <w:r w:rsidR="00380E2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827F00" w:rsidRDefault="00827F00"/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3.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242424"/>
              </w:rPr>
            </w:pPr>
            <w:r>
              <w:rPr>
                <w:color w:val="000000"/>
                <w:highlight w:val="white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color w:val="000000"/>
                <w:highlight w:val="white"/>
              </w:rPr>
              <w:t>ного правопорушення або правопорушення, пов’язаного з корупцією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п.3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</w:t>
            </w:r>
            <w:r>
              <w:rPr>
                <w:color w:val="000000"/>
                <w:highlight w:val="white"/>
              </w:rPr>
              <w:t xml:space="preserve"> закупівлі, фізичну особу, яка є учасником, було/не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096" w:type="dxa"/>
            <w:vAlign w:val="center"/>
          </w:tcPr>
          <w:p w:rsidR="00827F00" w:rsidRDefault="00380E21">
            <w:r>
              <w:t>Переможець надає витяг з Єдиного державного реєстру осіб, які вчин</w:t>
            </w:r>
            <w:r>
              <w:t xml:space="preserve">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ДРФО, що зчитується з КЕП. </w:t>
            </w:r>
            <w:hyperlink r:id="rId6">
              <w:r>
                <w:rPr>
                  <w:color w:val="0000FF"/>
                  <w:u w:val="single"/>
                </w:rPr>
                <w:t>https://corruptinfo.nazk.gov.ua/reference/getpersonalreference/individual</w:t>
              </w:r>
            </w:hyperlink>
            <w:r>
              <w:t xml:space="preserve"> 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4.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Суб’єкт господарювання (учасник) протягом останніх трьох років притягувався до відповідальності за порушення, передбачене </w:t>
            </w:r>
            <w:hyperlink r:id="rId7" w:anchor="n52">
              <w:r>
                <w:rPr>
                  <w:color w:val="000000"/>
                  <w:highlight w:val="white"/>
                  <w:u w:val="single"/>
                </w:rPr>
                <w:t>пунктом 4 частини другої статті 6</w:t>
              </w:r>
            </w:hyperlink>
            <w:r>
              <w:rPr>
                <w:color w:val="000000"/>
                <w:highlight w:val="white"/>
              </w:rPr>
              <w:t>, </w:t>
            </w:r>
            <w:hyperlink r:id="rId8" w:anchor="n456">
              <w:r>
                <w:rPr>
                  <w:color w:val="000000"/>
                  <w:highlight w:val="white"/>
                  <w:u w:val="single"/>
                </w:rPr>
                <w:t>пунктом 1 статті 50</w:t>
              </w:r>
            </w:hyperlink>
            <w:r>
              <w:rPr>
                <w:color w:val="000000"/>
                <w:highlight w:val="white"/>
              </w:rPr>
              <w:t> Закону України «Про захист економічної конкуренції», у вигляді</w:t>
            </w:r>
            <w:r>
              <w:rPr>
                <w:color w:val="000000"/>
                <w:highlight w:val="white"/>
              </w:rPr>
              <w:t xml:space="preserve">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п.4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 xml:space="preserve">суб’єкт господарювання (учасник) протягом останніх трьох років притягувався/не притягувався до відповідальності </w:t>
            </w:r>
            <w:r>
              <w:rPr>
                <w:color w:val="000000"/>
                <w:highlight w:val="white"/>
              </w:rPr>
              <w:t>за порушення, передбачене </w:t>
            </w:r>
            <w:r>
              <w:rPr>
                <w:highlight w:val="white"/>
              </w:rPr>
              <w:t>пунктом 4 частини другої статті 6</w:t>
            </w:r>
            <w:r>
              <w:rPr>
                <w:color w:val="000000"/>
                <w:highlight w:val="white"/>
              </w:rPr>
              <w:t>, </w:t>
            </w:r>
            <w:r>
              <w:rPr>
                <w:highlight w:val="white"/>
              </w:rPr>
              <w:t>пунктом 1 статті 50</w:t>
            </w:r>
            <w:r>
              <w:rPr>
                <w:color w:val="000000"/>
                <w:highlight w:val="white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>Підтвердження не вимага</w:t>
            </w:r>
            <w:r>
              <w:rPr>
                <w:color w:val="242424"/>
              </w:rPr>
              <w:t xml:space="preserve">ється </w:t>
            </w:r>
          </w:p>
          <w:p w:rsidR="00827F00" w:rsidRDefault="00827F00">
            <w:pPr>
              <w:rPr>
                <w:color w:val="242424"/>
              </w:rPr>
            </w:pPr>
          </w:p>
          <w:p w:rsidR="00827F00" w:rsidRDefault="00380E21">
            <w:r>
              <w:t xml:space="preserve">Замовник самостійно перевіряє інформацію на сайті АМКУ за посиланням  </w:t>
            </w:r>
            <w:hyperlink r:id="rId9">
              <w:r>
                <w:rPr>
                  <w:color w:val="0000FF"/>
                  <w:u w:val="single"/>
                </w:rPr>
                <w:t>https://amcu.gov.ua/napryami/oskarzhennya</w:t>
              </w:r>
              <w:r>
                <w:rPr>
                  <w:color w:val="0000FF"/>
                  <w:u w:val="single"/>
                </w:rPr>
                <w:t>-publichnih-zakupivel/zvedeni-vidomosti-shchodo-spotvorennya-rezultativ-torgiv</w:t>
              </w:r>
            </w:hyperlink>
            <w:r>
              <w:t xml:space="preserve"> 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lastRenderedPageBreak/>
              <w:t>5.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</w:t>
            </w:r>
            <w:r>
              <w:rPr>
                <w:color w:val="000000"/>
                <w:highlight w:val="white"/>
              </w:rPr>
              <w:t>нням коштів), судимість з якої не знято або не погашено у встановленому законом порядку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п.5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>фізична особа, яка є учасником процедури закупівлі, була/не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</w:t>
            </w:r>
            <w:r>
              <w:rPr>
                <w:color w:val="000000"/>
                <w:highlight w:val="white"/>
              </w:rPr>
              <w:t>ном порядку</w:t>
            </w: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827F00" w:rsidRDefault="00827F00">
            <w:pPr>
              <w:rPr>
                <w:color w:val="000000"/>
                <w:highlight w:val="white"/>
              </w:rPr>
            </w:pPr>
          </w:p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Переможець отримує витяг за посиланням </w:t>
            </w:r>
          </w:p>
          <w:p w:rsidR="00827F00" w:rsidRDefault="00380E21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>https://vytiah.mvs.gov.ua/app/landing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6.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</w:t>
            </w:r>
            <w:r>
              <w:rPr>
                <w:color w:val="000000"/>
                <w:highlight w:val="white"/>
              </w:rPr>
              <w:t>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п.6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>службова (посадова) особа учасника процедури закупівлі, яка п</w:t>
            </w:r>
            <w:r>
              <w:rPr>
                <w:color w:val="000000"/>
                <w:highlight w:val="white"/>
              </w:rPr>
              <w:t>ідписала тендерну пропозицію (або уповноважена на підписання договору в разі переговорної процедури закупівлі), була/не була засуджена за кримінальне правопорушення, вчинене з корисливих мотивів (зокрема, пов’язане з хабарництвом, шахрайством та відмивання</w:t>
            </w:r>
            <w:r>
              <w:rPr>
                <w:color w:val="000000"/>
                <w:highlight w:val="white"/>
              </w:rPr>
              <w:t>м коштів), судимість з якої не знято або не погашено у встановленому законом порядку</w:t>
            </w: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827F00" w:rsidRDefault="00827F00">
            <w:pPr>
              <w:rPr>
                <w:color w:val="000000"/>
                <w:highlight w:val="white"/>
              </w:rPr>
            </w:pPr>
          </w:p>
          <w:p w:rsidR="00827F00" w:rsidRDefault="00827F00">
            <w:pPr>
              <w:rPr>
                <w:color w:val="000000"/>
                <w:highlight w:val="white"/>
              </w:rPr>
            </w:pPr>
          </w:p>
          <w:p w:rsidR="00827F00" w:rsidRDefault="00380E21">
            <w:pPr>
              <w:spacing w:before="6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Перем</w:t>
            </w:r>
            <w:r>
              <w:rPr>
                <w:color w:val="000000"/>
                <w:highlight w:val="white"/>
              </w:rPr>
              <w:t xml:space="preserve">ожець отримує витяг за посиланням </w:t>
            </w:r>
          </w:p>
          <w:p w:rsidR="00827F00" w:rsidRDefault="00380E21" w:rsidP="00380E21">
            <w:pPr>
              <w:pStyle w:val="1"/>
              <w:spacing w:before="60"/>
              <w:ind w:left="0" w:hanging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https://vytiah.mvs.gov.ua/app/landing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lastRenderedPageBreak/>
              <w:t>7.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п.7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 xml:space="preserve">Підтвердження не вимагається </w:t>
            </w:r>
          </w:p>
          <w:p w:rsidR="00827F00" w:rsidRDefault="00827F00">
            <w:pPr>
              <w:rPr>
                <w:b/>
              </w:rPr>
            </w:pP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 xml:space="preserve">Підтвердження не вимагається </w:t>
            </w:r>
          </w:p>
          <w:p w:rsidR="00827F00" w:rsidRDefault="00827F00" w:rsidP="00380E21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8.</w:t>
            </w:r>
          </w:p>
        </w:tc>
        <w:tc>
          <w:tcPr>
            <w:tcW w:w="3552" w:type="dxa"/>
            <w:vAlign w:val="center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1260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rPr>
                <w:b/>
              </w:rPr>
              <w:t>п.8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 xml:space="preserve">Учасник надає у складі тендерної пропозиції довідку в довільній формі, що його не </w:t>
            </w:r>
            <w:r>
              <w:rPr>
                <w:color w:val="000000"/>
                <w:highlight w:val="white"/>
              </w:rPr>
              <w:t xml:space="preserve"> визнано у встановленому законом порядку банкрутом та стосовно нього не відкрита ліквідаційна процедура</w:t>
            </w:r>
          </w:p>
          <w:p w:rsidR="00827F00" w:rsidRDefault="00827F00" w:rsidP="00380E21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827F00" w:rsidRDefault="00380E21">
            <w:r>
              <w:t>Переможець надає інформаційну довідку або інформаційний лист, виданий</w:t>
            </w:r>
            <w:r>
              <w:t xml:space="preserve"> міжрегіональним управлінням Міністерства юстиції України або Міністерством юстиції України, що суб’єкт господарювання  не включено до Єдиного реєстру підприємств, щодо яких розпочато провадження у справі про банкрутство</w:t>
            </w:r>
          </w:p>
          <w:p w:rsidR="00827F00" w:rsidRDefault="00380E21">
            <w:pPr>
              <w:rPr>
                <w:u w:val="single"/>
              </w:rPr>
            </w:pPr>
            <w:r>
              <w:t xml:space="preserve">Порядок отримання відомостей із зазначеного реєстру за посиланням: </w:t>
            </w:r>
            <w:hyperlink r:id="rId10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://minjust.gov.ua/news/ministry/zmineno-poryadok-otrimannya-vidomostey-z-edinogo-reestru-pidpriemstv-schodo-yakih-porusheno-provadjennya-u-spravi-pro-bankrutstvo</w:t>
              </w:r>
            </w:hyperlink>
            <w:r>
              <w:t xml:space="preserve">  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lastRenderedPageBreak/>
              <w:t>9.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У Єдиному державному реєстрі юридичних осіб, фізичних осіб - підприємців та громадських </w:t>
            </w:r>
            <w:r>
              <w:rPr>
                <w:color w:val="000000"/>
                <w:highlight w:val="white"/>
              </w:rPr>
              <w:t>формувань відсутня інформація, передбачена </w:t>
            </w:r>
            <w:hyperlink r:id="rId11" w:anchor="n174">
              <w:r>
                <w:rPr>
                  <w:color w:val="000000"/>
                  <w:highlight w:val="white"/>
                  <w:u w:val="single"/>
                </w:rPr>
                <w:t>пунктом 9</w:t>
              </w:r>
            </w:hyperlink>
            <w:r>
              <w:rPr>
                <w:color w:val="000000"/>
                <w:highlight w:val="white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</w:t>
            </w:r>
            <w:r>
              <w:rPr>
                <w:color w:val="000000"/>
                <w:highlight w:val="white"/>
              </w:rPr>
              <w:t xml:space="preserve"> (крім нерезидентів)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п.9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u w:val="single"/>
              </w:rPr>
            </w:pPr>
            <w:r>
              <w:rPr>
                <w:color w:val="242424"/>
              </w:rPr>
              <w:t xml:space="preserve">Учасник надає у складі тендерної пропозиції довідку в довільній формі, що у </w:t>
            </w:r>
            <w:r>
              <w:rPr>
                <w:color w:val="000000"/>
                <w:highlight w:val="white"/>
              </w:rPr>
              <w:t xml:space="preserve">Єдиному державному реєстрі юридичних осіб, фізичних осіб - підприємців та громадських формувань наявна інформація, передбачена </w:t>
            </w:r>
            <w:r>
              <w:rPr>
                <w:highlight w:val="white"/>
              </w:rPr>
              <w:t>пунктом 9</w:t>
            </w:r>
            <w:r>
              <w:rPr>
                <w:color w:val="000000"/>
                <w:highlight w:val="white"/>
              </w:rPr>
              <w:t> 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  <w:p w:rsidR="00827F00" w:rsidRDefault="00827F00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96" w:type="dxa"/>
            <w:vAlign w:val="center"/>
          </w:tcPr>
          <w:p w:rsidR="00827F00" w:rsidRDefault="00380E21">
            <w:r>
              <w:t>Не вимагається спосіб підтвердження.</w:t>
            </w:r>
          </w:p>
          <w:p w:rsidR="00827F00" w:rsidRDefault="00827F00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</w:pP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10.</w:t>
            </w:r>
          </w:p>
        </w:tc>
        <w:tc>
          <w:tcPr>
            <w:tcW w:w="3552" w:type="dxa"/>
            <w:vAlign w:val="center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Юридична особа, яка є учасником процедури закупівлі (крім</w:t>
            </w:r>
            <w:r>
              <w:rPr>
                <w:color w:val="000000"/>
                <w:highlight w:val="white"/>
              </w:rPr>
              <w:t xml:space="preserve">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1260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rPr>
                <w:b/>
              </w:rPr>
              <w:t>п.10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t>Інформація в довільній формі про те, що ю</w:t>
            </w:r>
            <w:r>
              <w:rPr>
                <w:color w:val="000000"/>
                <w:highlight w:val="white"/>
              </w:rPr>
              <w:t xml:space="preserve">ридична особа, яка є учасником процедури закупівлі (крім нерезидентів), має/не має антикорупційної програми чи уповноваженого з реалізації антикорупційної програми, якщо вартість закупівлі товару (товарів), послуги </w:t>
            </w:r>
            <w:r>
              <w:rPr>
                <w:color w:val="000000"/>
                <w:highlight w:val="white"/>
              </w:rPr>
              <w:t>(послуг) або робіт дорівнює чи перевищує 20 мільйонів гривень (у тому числі за лотом).</w:t>
            </w:r>
            <w:r>
              <w:rPr>
                <w:color w:val="242424"/>
              </w:rPr>
              <w:t xml:space="preserve"> У разі наявності подати антикорупційну програму та наказ про призначення уповноваженого з реалізації антикорупційної програми.</w:t>
            </w:r>
          </w:p>
          <w:p w:rsidR="00827F00" w:rsidRDefault="00380E21">
            <w:pPr>
              <w:rPr>
                <w:color w:val="242424"/>
              </w:rPr>
            </w:pPr>
            <w:r>
              <w:rPr>
                <w:color w:val="000000"/>
                <w:highlight w:val="white"/>
              </w:rPr>
              <w:t>В іншому випадку замовник взагалі не вимаг</w:t>
            </w:r>
            <w:r>
              <w:rPr>
                <w:color w:val="000000"/>
                <w:highlight w:val="white"/>
              </w:rPr>
              <w:t xml:space="preserve">ає таку інформацію. </w:t>
            </w:r>
          </w:p>
          <w:p w:rsidR="00827F00" w:rsidRDefault="00827F00">
            <w:pPr>
              <w:rPr>
                <w:b/>
              </w:rPr>
            </w:pP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 xml:space="preserve">Підтвердження не вимагається </w:t>
            </w:r>
          </w:p>
          <w:p w:rsidR="00827F00" w:rsidRDefault="00827F00">
            <w:pPr>
              <w:rPr>
                <w:b/>
              </w:rPr>
            </w:pP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11.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</w:t>
            </w:r>
            <w:hyperlink r:id="rId12">
              <w:r>
                <w:rPr>
                  <w:color w:val="000000"/>
                  <w:highlight w:val="white"/>
                  <w:u w:val="single"/>
                </w:rPr>
                <w:t>Законом України</w:t>
              </w:r>
            </w:hyperlink>
            <w:r>
              <w:rPr>
                <w:color w:val="000000"/>
                <w:highlight w:val="white"/>
                <w:u w:val="single"/>
              </w:rPr>
              <w:t xml:space="preserve"> </w:t>
            </w:r>
            <w:r>
              <w:rPr>
                <w:color w:val="000000"/>
                <w:highlight w:val="white"/>
              </w:rPr>
              <w:t>«Про санкції»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п.11 ч.1 ст.17</w:t>
            </w:r>
          </w:p>
        </w:tc>
        <w:tc>
          <w:tcPr>
            <w:tcW w:w="4875" w:type="dxa"/>
          </w:tcPr>
          <w:p w:rsidR="00827F00" w:rsidRDefault="00380E21">
            <w:pPr>
              <w:rPr>
                <w:b/>
              </w:rPr>
            </w:pPr>
            <w: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 xml:space="preserve"> учасник процедури закупівлі є/не є особою, до якої застосовано санкцію у виді заборони на здійснення у неї публічних закупівель товарів, робіт і послуг згідно із </w:t>
            </w:r>
            <w:r>
              <w:rPr>
                <w:highlight w:val="white"/>
              </w:rPr>
              <w:t xml:space="preserve">Законом України </w:t>
            </w:r>
            <w:r>
              <w:rPr>
                <w:color w:val="000000"/>
                <w:highlight w:val="white"/>
              </w:rPr>
              <w:t>«Про санкції»</w:t>
            </w: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242424"/>
              </w:rPr>
            </w:pPr>
            <w:r>
              <w:rPr>
                <w:color w:val="242424"/>
              </w:rPr>
              <w:t>Підтвердження не вимагається, замовник самостійно перевіряє інф</w:t>
            </w:r>
            <w:r>
              <w:rPr>
                <w:color w:val="242424"/>
              </w:rPr>
              <w:t xml:space="preserve">ормацію. </w:t>
            </w:r>
          </w:p>
          <w:p w:rsidR="00827F00" w:rsidRDefault="00827F00">
            <w:pPr>
              <w:rPr>
                <w:b/>
              </w:rPr>
            </w:pP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lastRenderedPageBreak/>
              <w:t>12.</w:t>
            </w:r>
          </w:p>
        </w:tc>
        <w:tc>
          <w:tcPr>
            <w:tcW w:w="3552" w:type="dxa"/>
          </w:tcPr>
          <w:p w:rsidR="00827F00" w:rsidRDefault="00380E21">
            <w:pPr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</w:t>
            </w:r>
            <w:r>
              <w:rPr>
                <w:color w:val="000000"/>
                <w:highlight w:val="white"/>
              </w:rPr>
              <w:t>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1260" w:type="dxa"/>
          </w:tcPr>
          <w:p w:rsidR="00827F00" w:rsidRDefault="00380E21">
            <w:pPr>
              <w:jc w:val="center"/>
              <w:rPr>
                <w:b/>
              </w:rPr>
            </w:pPr>
            <w:r>
              <w:rPr>
                <w:b/>
              </w:rPr>
              <w:t>п.12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Інформація в довільній формі про те, що </w:t>
            </w:r>
            <w:r>
              <w:rPr>
                <w:color w:val="000000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</w:t>
            </w:r>
            <w:r>
              <w:rPr>
                <w:color w:val="000000"/>
                <w:highlight w:val="white"/>
              </w:rPr>
              <w:t xml:space="preserve"> час проведення процедури закупівлі, фізичну особу, яка є учасником, було/не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096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Витяг про притягн</w:t>
            </w:r>
            <w:r>
              <w:rPr>
                <w:color w:val="000000"/>
                <w:highlight w:val="white"/>
              </w:rPr>
              <w:t>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827F00" w:rsidRDefault="00827F00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27F00" w:rsidRDefault="00827F00">
            <w:pPr>
              <w:ind w:hanging="2"/>
            </w:pPr>
          </w:p>
          <w:p w:rsidR="00827F00" w:rsidRDefault="00380E21">
            <w:pPr>
              <w:spacing w:before="6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Переможець отримує витяг за посиланням </w:t>
            </w:r>
          </w:p>
          <w:p w:rsidR="00827F00" w:rsidRDefault="00380E21">
            <w:pPr>
              <w:pStyle w:val="1"/>
              <w:spacing w:before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https://vytiah.mvs.gov.ua/app/landing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t>13.</w:t>
            </w:r>
          </w:p>
        </w:tc>
        <w:tc>
          <w:tcPr>
            <w:tcW w:w="3552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</w:t>
            </w:r>
            <w:r>
              <w:rPr>
                <w:color w:val="000000"/>
                <w:highlight w:val="white"/>
              </w:rPr>
              <w:t>їни реєстрації такого учасника</w:t>
            </w:r>
          </w:p>
          <w:p w:rsidR="00827F00" w:rsidRDefault="00827F00">
            <w:pPr>
              <w:rPr>
                <w:b/>
                <w:color w:val="242424"/>
              </w:rPr>
            </w:pPr>
          </w:p>
        </w:tc>
        <w:tc>
          <w:tcPr>
            <w:tcW w:w="1260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rPr>
                <w:b/>
              </w:rPr>
              <w:t>п.13 ч.1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pPr>
              <w:ind w:hanging="2"/>
            </w:pPr>
            <w:r>
              <w:t>Інформація в довільній формі про те, що учасник процедури закупівлі має/не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</w:t>
            </w:r>
            <w:r>
              <w:t>дку та на умовах, визначених законодавством країни реєстрації такого учасника.</w:t>
            </w:r>
          </w:p>
        </w:tc>
        <w:tc>
          <w:tcPr>
            <w:tcW w:w="5096" w:type="dxa"/>
          </w:tcPr>
          <w:p w:rsidR="00827F00" w:rsidRDefault="00380E21">
            <w:pPr>
              <w:ind w:right="140" w:hanging="2"/>
              <w:rPr>
                <w:color w:val="000000"/>
              </w:rPr>
            </w:pPr>
            <w:r>
              <w:t>Довідка, що видана, Державною фіскальною службою України про відсутність (наявність) заборгованості з платежів, контроль за справлянням яких покладено на контролюючі органи, фор</w:t>
            </w:r>
            <w:r>
              <w:t>ма якої затверджена наказом Міністерства фінансів України від 03.09.2018 року №733, дійсну станом на дату подання.</w:t>
            </w:r>
          </w:p>
          <w:p w:rsidR="00827F00" w:rsidRDefault="00380E21">
            <w:pPr>
              <w:ind w:right="140" w:hanging="2"/>
              <w:rPr>
                <w:color w:val="000000"/>
              </w:rPr>
            </w:pPr>
            <w:r>
              <w:t>Також інформація про відсутність заборгованості з податків, зборів і платежів у переможця процедури закупівлі перевіряється Замовником в елек</w:t>
            </w:r>
            <w:r>
              <w:t>тронній системі закупівель в інформації,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України.*</w:t>
            </w:r>
          </w:p>
        </w:tc>
      </w:tr>
      <w:tr w:rsidR="00827F00">
        <w:trPr>
          <w:tblHeader/>
        </w:trPr>
        <w:tc>
          <w:tcPr>
            <w:tcW w:w="619" w:type="dxa"/>
          </w:tcPr>
          <w:p w:rsidR="00827F00" w:rsidRDefault="00380E21">
            <w:pPr>
              <w:ind w:left="-142" w:right="-157"/>
              <w:jc w:val="center"/>
            </w:pPr>
            <w:r>
              <w:lastRenderedPageBreak/>
              <w:t>14.</w:t>
            </w:r>
          </w:p>
        </w:tc>
        <w:tc>
          <w:tcPr>
            <w:tcW w:w="3552" w:type="dxa"/>
            <w:vAlign w:val="center"/>
          </w:tcPr>
          <w:p w:rsidR="00827F00" w:rsidRDefault="00380E2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Учасник процедури закупівлі не в</w:t>
            </w:r>
            <w:r>
              <w:rPr>
                <w:color w:val="000000"/>
                <w:highlight w:val="white"/>
              </w:rPr>
              <w:t>иконав свої зобов’язання за раніше укладеним договором про закупівлю саме з 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</w:t>
            </w:r>
            <w:r>
              <w:rPr>
                <w:color w:val="000000"/>
                <w:highlight w:val="white"/>
              </w:rPr>
              <w:t>вання такого договору</w:t>
            </w:r>
          </w:p>
        </w:tc>
        <w:tc>
          <w:tcPr>
            <w:tcW w:w="1260" w:type="dxa"/>
            <w:vAlign w:val="center"/>
          </w:tcPr>
          <w:p w:rsidR="00827F00" w:rsidRDefault="00380E21">
            <w:pPr>
              <w:rPr>
                <w:b/>
              </w:rPr>
            </w:pPr>
            <w:r>
              <w:rPr>
                <w:b/>
              </w:rPr>
              <w:t>ч.2 ст.17</w:t>
            </w:r>
          </w:p>
        </w:tc>
        <w:tc>
          <w:tcPr>
            <w:tcW w:w="4875" w:type="dxa"/>
            <w:vAlign w:val="center"/>
          </w:tcPr>
          <w:p w:rsidR="00827F00" w:rsidRDefault="00380E21">
            <w:r>
              <w:t>Інформація в довільній формі про те, що між учасником і замовником раніше не було укладено договір про закупівлю, за яким учасник не виконав договірні зобов’язання, що призвело до його дострокового розірвання, і було застосо</w:t>
            </w:r>
            <w:r>
              <w:t>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27F00" w:rsidRDefault="00827F00"/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left"/>
              <w:rPr>
                <w:color w:val="333333"/>
              </w:rPr>
            </w:pPr>
            <w:r>
              <w:rPr>
                <w:color w:val="333333"/>
              </w:rPr>
              <w:t>Учасник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  <w:r>
              <w:rPr>
                <w:color w:val="333333"/>
              </w:rPr>
              <w:t xml:space="preserve">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left"/>
              <w:rPr>
                <w:color w:val="333333"/>
              </w:rPr>
            </w:pPr>
            <w:bookmarkStart w:id="2" w:name="bookmark=id.30j0zll" w:colFirst="0" w:colLast="0"/>
            <w:bookmarkEnd w:id="2"/>
            <w:r>
              <w:rPr>
                <w:color w:val="333333"/>
              </w:rPr>
              <w:t xml:space="preserve">Якщо замовник вважає таке підтвердження достатнім, учаснику не може бути відмовлено в участі в </w:t>
            </w:r>
            <w:r>
              <w:rPr>
                <w:color w:val="333333"/>
              </w:rPr>
              <w:t>процедурі закупівлі.</w:t>
            </w:r>
          </w:p>
          <w:p w:rsidR="00827F00" w:rsidRDefault="00827F00">
            <w:pPr>
              <w:rPr>
                <w:b/>
                <w:color w:val="000000"/>
              </w:rPr>
            </w:pPr>
          </w:p>
        </w:tc>
        <w:tc>
          <w:tcPr>
            <w:tcW w:w="5096" w:type="dxa"/>
            <w:vAlign w:val="center"/>
          </w:tcPr>
          <w:p w:rsidR="00827F00" w:rsidRDefault="00380E21">
            <w:r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</w:t>
            </w:r>
            <w:r>
              <w:t>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27F00" w:rsidRDefault="00827F00"/>
          <w:p w:rsidR="00827F00" w:rsidRDefault="003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left"/>
              <w:rPr>
                <w:color w:val="333333"/>
              </w:rPr>
            </w:pPr>
            <w:r>
              <w:rPr>
                <w:color w:val="333333"/>
              </w:rPr>
              <w:t>Переможець процедури закупівлі, що перебуває в обставинах, зазначених у частині другій статті 17, може надати підтвердження вжиття з</w:t>
            </w:r>
            <w:r>
              <w:rPr>
                <w:color w:val="333333"/>
              </w:rPr>
              <w:t>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відповідні зобов’язання та відшкодування завданих</w:t>
            </w:r>
            <w:r>
              <w:rPr>
                <w:color w:val="333333"/>
              </w:rPr>
              <w:t xml:space="preserve"> збитків.</w:t>
            </w:r>
          </w:p>
          <w:p w:rsidR="00827F00" w:rsidRDefault="00827F00">
            <w:pPr>
              <w:rPr>
                <w:b/>
                <w:color w:val="000000"/>
              </w:rPr>
            </w:pPr>
          </w:p>
        </w:tc>
      </w:tr>
    </w:tbl>
    <w:p w:rsidR="00827F00" w:rsidRDefault="00380E21">
      <w:pPr>
        <w:shd w:val="clear" w:color="auto" w:fill="FFFFFF"/>
        <w:spacing w:before="240" w:after="240"/>
        <w:ind w:hanging="2"/>
        <w:rPr>
          <w:i/>
        </w:rPr>
      </w:pPr>
      <w:r>
        <w:rPr>
          <w:i/>
        </w:rPr>
        <w:t>*У випадку наявності в учасника заборгованості із сплати податків і зборів (обов’язкових платежів), що підтверджується згідно інформації, що міститься в електронній системі закупівель, учасник повинен надати інформацію, що підтверджує здійснення останнім з</w:t>
      </w:r>
      <w:r>
        <w:rPr>
          <w:i/>
        </w:rPr>
        <w:t xml:space="preserve">аходів щодо розстрочення і відстрочення такої заборгованості у порядку та на умовах, визначених законодавством країни реєстрації такого учасника, зокрема для суб’єктів господарювання, що зареєстровані на території України - рішення органу доходів і зборів </w:t>
      </w:r>
      <w:r>
        <w:rPr>
          <w:i/>
        </w:rPr>
        <w:t>та/або укладений договір про розстрочення (відстрочення), прийнятий/укладений згідно порядку розстрочення (відстрочення) грошових зобов’язань (податкового боргу) платників податків, затвердженого наказом Міністерства доходів і зборів України від 10.10.2013</w:t>
      </w:r>
      <w:r>
        <w:rPr>
          <w:i/>
        </w:rPr>
        <w:t xml:space="preserve">р. № 574, або довідку про відсутність заборгованості з платежів, контроль за справлянням яких покладено на контролюючі органи, форма якої затверджена наказом Міністерства фінансів України від 03.09.2018 </w:t>
      </w:r>
      <w:r>
        <w:rPr>
          <w:i/>
        </w:rPr>
        <w:lastRenderedPageBreak/>
        <w:t>року №733, та яка видана контролюючим органом в елект</w:t>
      </w:r>
      <w:r>
        <w:rPr>
          <w:i/>
        </w:rPr>
        <w:t>ронній формі, що містить відповідну інформацію станом на будь-яку дату, наступну після  оприлюднення в електронній системі закупівель відповіді інформаційно-телекомунікаційної системи ДФС на запит згідно Порядку № 37/11, згідно якої повідомляється про наяв</w:t>
      </w:r>
      <w:r>
        <w:rPr>
          <w:i/>
        </w:rPr>
        <w:t>ність заборгованості в учасника, але в будь-якому випадку в межах строку згідно ч. 6 ст. 17 Закону.</w:t>
      </w:r>
    </w:p>
    <w:p w:rsidR="00827F00" w:rsidRDefault="00380E21">
      <w:pPr>
        <w:ind w:firstLine="567"/>
      </w:pPr>
      <w:r>
        <w:rPr>
          <w:highlight w:val="white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</w:t>
      </w:r>
      <w:r>
        <w:rPr>
          <w:highlight w:val="white"/>
        </w:rPr>
        <w:t>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827F00" w:rsidRDefault="00380E21">
      <w:pPr>
        <w:shd w:val="clear" w:color="auto" w:fill="FFFFFF"/>
        <w:spacing w:after="150"/>
        <w:ind w:firstLine="567"/>
      </w:pPr>
      <w:r>
        <w:t>Учасник процедури закупівлі під час подання тендерної пропозиції підтверджує відс</w:t>
      </w:r>
      <w:r>
        <w:t>утність підстав, передбачених пунктами 2, 3, 5, 6, 8, 9, 10 (якщо вартість закупівлі дорівнює чи перевищує 20 мільйонів гривень (у тому числі за лотом), 12 і 13 частини 1 статті 17 Закону шляхом надання довідки у довільній формі (або відповідно до форми, н</w:t>
      </w:r>
      <w:r>
        <w:t>аданої замовником).</w:t>
      </w:r>
    </w:p>
    <w:p w:rsidR="00827F00" w:rsidRDefault="00380E21">
      <w:pPr>
        <w:shd w:val="clear" w:color="auto" w:fill="FFFFFF"/>
        <w:spacing w:after="150"/>
        <w:ind w:firstLine="567"/>
      </w:pPr>
      <w:bookmarkStart w:id="3" w:name="bookmark=kix.mnpbt3ke59az" w:colFirst="0" w:colLast="0"/>
      <w:bookmarkEnd w:id="3"/>
      <w:r>
        <w:t xml:space="preserve">Переможець процедури закупівлі у строк, що не перевищує </w:t>
      </w:r>
      <w:r>
        <w:rPr>
          <w:b/>
        </w:rPr>
        <w:t>десяти днів</w:t>
      </w:r>
      <w: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</w:t>
      </w:r>
      <w:r>
        <w:t>лектронній системі закупівель, що підтверджують відсутність підстав, визначених </w:t>
      </w:r>
      <w:hyperlink r:id="rId13" w:anchor="n1264">
        <w:r>
          <w:rPr>
            <w:u w:val="single"/>
          </w:rPr>
          <w:t>пунктами 2</w:t>
        </w:r>
      </w:hyperlink>
      <w:r>
        <w:t>, </w:t>
      </w:r>
      <w:hyperlink r:id="rId14" w:anchor="n1265">
        <w:r>
          <w:rPr>
            <w:u w:val="single"/>
          </w:rPr>
          <w:t>3</w:t>
        </w:r>
      </w:hyperlink>
      <w:r>
        <w:t>, </w:t>
      </w:r>
      <w:hyperlink r:id="rId15" w:anchor="n1267">
        <w:r>
          <w:rPr>
            <w:u w:val="single"/>
          </w:rPr>
          <w:t>5</w:t>
        </w:r>
      </w:hyperlink>
      <w:r>
        <w:t>, </w:t>
      </w:r>
      <w:hyperlink r:id="rId16" w:anchor="n1268">
        <w:r>
          <w:rPr>
            <w:u w:val="single"/>
          </w:rPr>
          <w:t>6</w:t>
        </w:r>
      </w:hyperlink>
      <w:r>
        <w:t>, </w:t>
      </w:r>
      <w:hyperlink r:id="rId17" w:anchor="n1270">
        <w:r>
          <w:rPr>
            <w:u w:val="single"/>
          </w:rPr>
          <w:t>8</w:t>
        </w:r>
      </w:hyperlink>
      <w:r>
        <w:t>, </w:t>
      </w:r>
      <w:hyperlink r:id="rId18" w:anchor="n1274">
        <w:r>
          <w:rPr>
            <w:u w:val="single"/>
          </w:rPr>
          <w:t>12</w:t>
        </w:r>
      </w:hyperlink>
      <w:r>
        <w:t> і </w:t>
      </w:r>
      <w:hyperlink r:id="rId19" w:anchor="n1275">
        <w:r>
          <w:rPr>
            <w:u w:val="single"/>
          </w:rPr>
          <w:t>13 частини першої</w:t>
        </w:r>
      </w:hyperlink>
      <w:r>
        <w:rPr>
          <w:u w:val="single"/>
        </w:rPr>
        <w:t xml:space="preserve"> </w:t>
      </w:r>
      <w:r>
        <w:t xml:space="preserve">та </w:t>
      </w:r>
      <w:hyperlink r:id="rId20" w:anchor="n1276">
        <w:r>
          <w:rPr>
            <w:u w:val="single"/>
          </w:rPr>
          <w:t>частиною другою</w:t>
        </w:r>
      </w:hyperlink>
      <w:r>
        <w:t xml:space="preserve"> ст.17 Закону.</w:t>
      </w:r>
    </w:p>
    <w:p w:rsidR="00827F00" w:rsidRDefault="00380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567"/>
        <w:rPr>
          <w:color w:val="000000"/>
        </w:rPr>
      </w:pPr>
      <w:r>
        <w:rPr>
          <w:color w:val="000000"/>
        </w:rPr>
        <w:t>Якщо у суб’єкта господа</w:t>
      </w:r>
      <w:r>
        <w:rPr>
          <w:color w:val="000000"/>
        </w:rPr>
        <w:t>рювання, що подав свою тендерну пропозицію для участі в торгах кінцевим бенефіціарним власником, чл</w:t>
      </w:r>
      <w:r>
        <w:rPr>
          <w:color w:val="000000"/>
          <w:highlight w:val="white"/>
        </w:rPr>
        <w:t>еном або учасником (акціонером), що має частку в статутному капіталі 10 і більше відсотків є Російська Федерація, громадянин Російської Федерації, крім того,</w:t>
      </w:r>
      <w:r>
        <w:rPr>
          <w:color w:val="000000"/>
          <w:highlight w:val="white"/>
        </w:rPr>
        <w:t xml:space="preserve">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Федерації, пропозиція такого учасника відхиляється  (підстава: Постанова Кабінету Міністрів України від 03.03.2022</w:t>
      </w:r>
      <w:r>
        <w:rPr>
          <w:color w:val="000000"/>
          <w:highlight w:val="white"/>
        </w:rPr>
        <w:t xml:space="preserve"> № 187).</w:t>
      </w:r>
    </w:p>
    <w:p w:rsidR="00827F00" w:rsidRDefault="00827F00">
      <w:pPr>
        <w:widowControl w:val="0"/>
        <w:tabs>
          <w:tab w:val="left" w:pos="8070"/>
        </w:tabs>
        <w:ind w:firstLine="281"/>
        <w:rPr>
          <w:sz w:val="20"/>
          <w:szCs w:val="20"/>
        </w:rPr>
      </w:pPr>
    </w:p>
    <w:sectPr w:rsidR="00827F00" w:rsidSect="00827F00">
      <w:pgSz w:w="16838" w:h="11906" w:orient="landscape"/>
      <w:pgMar w:top="1418" w:right="567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27F00"/>
    <w:rsid w:val="00380E21"/>
    <w:rsid w:val="0082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0"/>
  </w:style>
  <w:style w:type="paragraph" w:styleId="1">
    <w:name w:val="heading 1"/>
    <w:basedOn w:val="a"/>
    <w:next w:val="a"/>
    <w:link w:val="10"/>
    <w:uiPriority w:val="9"/>
    <w:qFormat/>
    <w:rsid w:val="00C31FB2"/>
    <w:pPr>
      <w:keepNext/>
      <w:keepLines/>
      <w:suppressAutoHyphens/>
      <w:spacing w:before="480" w:line="259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position w:val="-1"/>
      <w:sz w:val="28"/>
      <w:szCs w:val="28"/>
      <w:lang w:eastAsia="en-US"/>
    </w:rPr>
  </w:style>
  <w:style w:type="paragraph" w:styleId="2">
    <w:name w:val="heading 2"/>
    <w:basedOn w:val="normal"/>
    <w:next w:val="normal"/>
    <w:rsid w:val="00827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27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27F0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27F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27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7F00"/>
  </w:style>
  <w:style w:type="table" w:customStyle="1" w:styleId="TableNormal">
    <w:name w:val="Table Normal"/>
    <w:rsid w:val="00827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7F0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E80660"/>
    <w:rPr>
      <w:color w:val="0000FF"/>
      <w:u w:val="single"/>
    </w:rPr>
  </w:style>
  <w:style w:type="paragraph" w:customStyle="1" w:styleId="rvps2">
    <w:name w:val="rvps2"/>
    <w:basedOn w:val="a"/>
    <w:rsid w:val="00CC5E47"/>
    <w:pPr>
      <w:spacing w:before="100" w:beforeAutospacing="1" w:after="100" w:afterAutospacing="1"/>
      <w:jc w:val="left"/>
    </w:pPr>
    <w:rPr>
      <w:rFonts w:eastAsia="Calibri"/>
    </w:rPr>
  </w:style>
  <w:style w:type="paragraph" w:styleId="a5">
    <w:name w:val="No Spacing"/>
    <w:uiPriority w:val="1"/>
    <w:qFormat/>
    <w:rsid w:val="00E91301"/>
    <w:pPr>
      <w:suppressAutoHyphens/>
    </w:pPr>
    <w:rPr>
      <w:rFonts w:ascii="Calibri" w:eastAsia="Calibri" w:hAnsi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31FB2"/>
    <w:rPr>
      <w:rFonts w:asciiTheme="majorHAnsi" w:eastAsiaTheme="majorEastAsia" w:hAnsiTheme="majorHAnsi" w:cstheme="majorBidi"/>
      <w:b/>
      <w:bCs/>
      <w:color w:val="2E74B5" w:themeColor="accent1" w:themeShade="BF"/>
      <w:position w:val="-1"/>
      <w:sz w:val="28"/>
      <w:szCs w:val="28"/>
    </w:rPr>
  </w:style>
  <w:style w:type="character" w:styleId="a6">
    <w:name w:val="Strong"/>
    <w:basedOn w:val="a0"/>
    <w:uiPriority w:val="22"/>
    <w:qFormat/>
    <w:rsid w:val="00C31FB2"/>
    <w:rPr>
      <w:b/>
      <w:bCs/>
    </w:rPr>
  </w:style>
  <w:style w:type="paragraph" w:styleId="a7">
    <w:name w:val="Subtitle"/>
    <w:basedOn w:val="normal"/>
    <w:next w:val="normal"/>
    <w:rsid w:val="00827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27F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27F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1644-18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reference/getpersonalreference/individual" TargetMode="External"/><Relationship Id="rId11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corruptinfo.nazk.gov.ua/reference/getpersonalreference/legal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minjust.gov.ua/news/ministry/zmineno-poryadok-otrimannya-vidomostey-z-edinogo-reestru-pidpriemstv-schodo-yakih-porusheno-provadjennya-u-spravi-pro-bankrutstvo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cu.gov.ua/napryami/oskarzhennya-publichnih-zakupivel/zvedeni-vidomosti-shchodo-spotvorennya-rezultativ-torgiv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TNKLfhem0NejcSTc+mWv03D5g==">AMUW2mUWBPUtE07lxEY6AbA7GjCDkcLSTEj9BiZZoHlYwddhFp5pOsUs7WE+OOv4vpUSFvgq8aiOpJjhd26ctAxHdagR3A082qWB+GbY4X5RJRjAvGRlYVo6jC22fAm/LxRXqaAwsHLhXhh791cXFhwZ2TZa1xjPQQ1fr0VqltuZoPqxxhwoSKmbJjeA9GUO0n6OzBfagw4v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12586</Words>
  <Characters>7175</Characters>
  <Application>Microsoft Office Word</Application>
  <DocSecurity>0</DocSecurity>
  <Lines>59</Lines>
  <Paragraphs>39</Paragraphs>
  <ScaleCrop>false</ScaleCrop>
  <Company>Reanimator Extreme Edition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Олексій</dc:creator>
  <cp:lastModifiedBy>User</cp:lastModifiedBy>
  <cp:revision>2</cp:revision>
  <dcterms:created xsi:type="dcterms:W3CDTF">2022-07-29T07:18:00Z</dcterms:created>
  <dcterms:modified xsi:type="dcterms:W3CDTF">2022-07-29T07:18:00Z</dcterms:modified>
</cp:coreProperties>
</file>