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0B6A5345" w14:textId="457CFA7B" w:rsidR="00E57FC6" w:rsidRDefault="002E3AFC" w:rsidP="00113F21">
      <w:pPr>
        <w:suppressAutoHyphens/>
        <w:spacing w:after="0" w:line="240" w:lineRule="auto"/>
        <w:jc w:val="center"/>
        <w:rPr>
          <w:rFonts w:ascii="Times New Roman" w:hAnsi="Times New Roman"/>
          <w:b/>
          <w:bCs/>
        </w:rPr>
      </w:pPr>
      <w:r>
        <w:rPr>
          <w:rFonts w:ascii="Times New Roman" w:hAnsi="Times New Roman"/>
          <w:b/>
          <w:bCs/>
          <w:color w:val="000000"/>
          <w:shd w:val="clear" w:color="auto" w:fill="FDFEFD"/>
        </w:rPr>
        <w:t xml:space="preserve">Лікарські засоби: </w:t>
      </w:r>
      <w:r w:rsidR="00A13990" w:rsidRPr="00A13990">
        <w:rPr>
          <w:rFonts w:ascii="Times New Roman" w:hAnsi="Times New Roman" w:cs="Times New Roman"/>
          <w:b/>
          <w:bCs/>
          <w:color w:val="000000"/>
          <w:shd w:val="clear" w:color="auto" w:fill="FDFEFD"/>
        </w:rPr>
        <w:t>Цефтазидим та авібактам</w:t>
      </w:r>
      <w:r w:rsidRPr="00EF4000">
        <w:rPr>
          <w:rFonts w:ascii="Times New Roman" w:hAnsi="Times New Roman" w:cs="Times New Roman"/>
          <w:b/>
          <w:bCs/>
          <w:color w:val="000000"/>
          <w:shd w:val="clear" w:color="auto" w:fill="FDFEFD"/>
        </w:rPr>
        <w:t>, порошок для ін'єкцій, 1г/1г</w:t>
      </w:r>
      <w:r w:rsidR="00A13990">
        <w:rPr>
          <w:rFonts w:ascii="Times New Roman" w:hAnsi="Times New Roman" w:cs="Times New Roman"/>
          <w:b/>
          <w:bCs/>
          <w:color w:val="000000"/>
          <w:shd w:val="clear" w:color="auto" w:fill="FDFEFD"/>
        </w:rPr>
        <w:t xml:space="preserve"> </w:t>
      </w:r>
      <w:r w:rsidRPr="0065174B">
        <w:rPr>
          <w:rFonts w:ascii="Times New Roman" w:hAnsi="Times New Roman"/>
          <w:b/>
          <w:bCs/>
        </w:rPr>
        <w:t>(код ДК 021:2015 Єдиного закупівельного словника 33600000-6- Фармацевтична продукція)</w:t>
      </w:r>
    </w:p>
    <w:p w14:paraId="3037DE91" w14:textId="77777777" w:rsidR="00113F21" w:rsidRPr="00AD042D" w:rsidRDefault="00113F21" w:rsidP="00113F21">
      <w:pPr>
        <w:suppressAutoHyphens/>
        <w:spacing w:after="0" w:line="240" w:lineRule="auto"/>
        <w:jc w:val="center"/>
        <w:rPr>
          <w:rFonts w:ascii="Times New Roman" w:hAnsi="Times New Roman" w:cs="Times New Roman"/>
          <w:b/>
          <w:bCs/>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817"/>
        <w:gridCol w:w="1701"/>
        <w:gridCol w:w="1843"/>
        <w:gridCol w:w="1701"/>
      </w:tblGrid>
      <w:tr w:rsidR="009E6508" w:rsidRPr="001A0550" w14:paraId="1FE8B76F" w14:textId="77777777" w:rsidTr="009E6508">
        <w:trPr>
          <w:trHeight w:val="12"/>
        </w:trPr>
        <w:tc>
          <w:tcPr>
            <w:tcW w:w="720" w:type="dxa"/>
            <w:vAlign w:val="center"/>
          </w:tcPr>
          <w:p w14:paraId="01E997A4" w14:textId="77777777" w:rsidR="009E6508" w:rsidRPr="001A0550" w:rsidRDefault="009E6508" w:rsidP="00D012C6">
            <w:pPr>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w:t>
            </w:r>
          </w:p>
          <w:p w14:paraId="796B1191" w14:textId="77777777"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з/п</w:t>
            </w:r>
          </w:p>
        </w:tc>
        <w:tc>
          <w:tcPr>
            <w:tcW w:w="3817" w:type="dxa"/>
            <w:vAlign w:val="center"/>
          </w:tcPr>
          <w:p w14:paraId="1B8DE137" w14:textId="77777777" w:rsidR="009E6508" w:rsidRPr="001A0550" w:rsidRDefault="009E6508" w:rsidP="00552225">
            <w:pPr>
              <w:tabs>
                <w:tab w:val="left" w:pos="2715"/>
              </w:tabs>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Назва товару та форма випуску</w:t>
            </w:r>
          </w:p>
        </w:tc>
        <w:tc>
          <w:tcPr>
            <w:tcW w:w="1701" w:type="dxa"/>
            <w:vAlign w:val="center"/>
          </w:tcPr>
          <w:p w14:paraId="2D05B700" w14:textId="1009BBFE"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Од. виміру</w:t>
            </w:r>
          </w:p>
        </w:tc>
        <w:tc>
          <w:tcPr>
            <w:tcW w:w="1843" w:type="dxa"/>
            <w:vAlign w:val="center"/>
          </w:tcPr>
          <w:p w14:paraId="2E124CC6" w14:textId="1CE2AC98" w:rsidR="009E6508" w:rsidRPr="001A0550" w:rsidRDefault="009E6508" w:rsidP="00C04373">
            <w:pPr>
              <w:tabs>
                <w:tab w:val="left" w:pos="2715"/>
              </w:tabs>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МНН</w:t>
            </w:r>
          </w:p>
        </w:tc>
        <w:tc>
          <w:tcPr>
            <w:tcW w:w="1701" w:type="dxa"/>
            <w:vAlign w:val="center"/>
          </w:tcPr>
          <w:p w14:paraId="4F4A416F" w14:textId="760EBA69"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К-ть</w:t>
            </w:r>
          </w:p>
        </w:tc>
      </w:tr>
      <w:tr w:rsidR="002E3AFC" w:rsidRPr="001A0550" w14:paraId="48A4520A" w14:textId="77777777" w:rsidTr="0005313C">
        <w:trPr>
          <w:trHeight w:val="520"/>
        </w:trPr>
        <w:tc>
          <w:tcPr>
            <w:tcW w:w="720" w:type="dxa"/>
            <w:vAlign w:val="center"/>
          </w:tcPr>
          <w:p w14:paraId="3DD1EE66" w14:textId="77777777" w:rsidR="002E3AFC" w:rsidRPr="001A0550" w:rsidRDefault="002E3AFC" w:rsidP="002E3AFC">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color w:val="000000"/>
                <w:sz w:val="21"/>
                <w:szCs w:val="21"/>
              </w:rPr>
              <w:t>1</w:t>
            </w:r>
          </w:p>
        </w:tc>
        <w:tc>
          <w:tcPr>
            <w:tcW w:w="3817" w:type="dxa"/>
            <w:vAlign w:val="center"/>
          </w:tcPr>
          <w:p w14:paraId="375139A5" w14:textId="648864D7" w:rsidR="002E3AFC" w:rsidRPr="00331BDD" w:rsidRDefault="002E3AFC" w:rsidP="002E3AFC">
            <w:pPr>
              <w:spacing w:after="0" w:line="240" w:lineRule="auto"/>
              <w:jc w:val="center"/>
              <w:rPr>
                <w:rFonts w:ascii="Times New Roman" w:hAnsi="Times New Roman" w:cs="Times New Roman"/>
              </w:rPr>
            </w:pPr>
            <w:r w:rsidRPr="00BF14FF">
              <w:rPr>
                <w:rFonts w:ascii="Times New Roman" w:hAnsi="Times New Roman" w:cs="Times New Roman"/>
                <w:color w:val="000000"/>
                <w:shd w:val="clear" w:color="auto" w:fill="FDFEFD"/>
              </w:rPr>
              <w:t>Цеф</w:t>
            </w:r>
            <w:r w:rsidR="00A13990">
              <w:rPr>
                <w:rFonts w:ascii="Times New Roman" w:hAnsi="Times New Roman" w:cs="Times New Roman"/>
                <w:color w:val="000000"/>
                <w:shd w:val="clear" w:color="auto" w:fill="FDFEFD"/>
              </w:rPr>
              <w:t>тазидим та авібактам</w:t>
            </w:r>
            <w:r w:rsidRPr="00BF14FF">
              <w:rPr>
                <w:rFonts w:ascii="Times New Roman" w:hAnsi="Times New Roman" w:cs="Times New Roman"/>
                <w:color w:val="000000"/>
                <w:shd w:val="clear" w:color="auto" w:fill="FDFEFD"/>
              </w:rPr>
              <w:t>, порошок для ін'єкцій, 1г/1г</w:t>
            </w:r>
            <w:r>
              <w:rPr>
                <w:rFonts w:ascii="Times New Roman" w:hAnsi="Times New Roman"/>
                <w:color w:val="000000"/>
                <w:shd w:val="clear" w:color="auto" w:fill="FDFEFD"/>
              </w:rPr>
              <w:t>, №1</w:t>
            </w:r>
          </w:p>
        </w:tc>
        <w:tc>
          <w:tcPr>
            <w:tcW w:w="1701" w:type="dxa"/>
            <w:vAlign w:val="center"/>
          </w:tcPr>
          <w:p w14:paraId="421D37B2" w14:textId="43B0F92D" w:rsidR="002E3AFC" w:rsidRPr="00CD59F0" w:rsidRDefault="002E3AFC" w:rsidP="002E3AFC">
            <w:pPr>
              <w:spacing w:after="0" w:line="240" w:lineRule="auto"/>
              <w:jc w:val="center"/>
              <w:rPr>
                <w:rFonts w:ascii="Times New Roman" w:hAnsi="Times New Roman" w:cs="Times New Roman"/>
                <w:sz w:val="21"/>
                <w:szCs w:val="21"/>
              </w:rPr>
            </w:pPr>
            <w:r>
              <w:rPr>
                <w:rFonts w:ascii="Times New Roman" w:hAnsi="Times New Roman"/>
                <w:sz w:val="23"/>
                <w:szCs w:val="23"/>
              </w:rPr>
              <w:t>фл</w:t>
            </w:r>
          </w:p>
        </w:tc>
        <w:tc>
          <w:tcPr>
            <w:tcW w:w="1843" w:type="dxa"/>
            <w:vAlign w:val="center"/>
          </w:tcPr>
          <w:p w14:paraId="2BB1D5CB" w14:textId="11D854E5" w:rsidR="002E3AFC" w:rsidRPr="002E3AFC" w:rsidRDefault="002E3AFC" w:rsidP="002E3AFC">
            <w:pPr>
              <w:spacing w:after="0" w:line="240" w:lineRule="auto"/>
              <w:jc w:val="center"/>
              <w:rPr>
                <w:rFonts w:ascii="Times New Roman" w:hAnsi="Times New Roman" w:cs="Times New Roman"/>
              </w:rPr>
            </w:pPr>
            <w:r w:rsidRPr="002E3AFC">
              <w:rPr>
                <w:rFonts w:ascii="Times New Roman" w:hAnsi="Times New Roman" w:cs="Times New Roman"/>
              </w:rPr>
              <w:t>Cefoperazone and beta-lactamase inhibitor</w:t>
            </w:r>
          </w:p>
        </w:tc>
        <w:tc>
          <w:tcPr>
            <w:tcW w:w="1701" w:type="dxa"/>
            <w:vAlign w:val="center"/>
          </w:tcPr>
          <w:p w14:paraId="75EE8FD0" w14:textId="62C54107" w:rsidR="002E3AFC" w:rsidRPr="00331BDD" w:rsidRDefault="002E3AFC" w:rsidP="002E3AFC">
            <w:pPr>
              <w:spacing w:after="0" w:line="240" w:lineRule="auto"/>
              <w:jc w:val="center"/>
              <w:rPr>
                <w:rFonts w:ascii="Times New Roman" w:hAnsi="Times New Roman" w:cs="Times New Roman"/>
                <w:sz w:val="21"/>
                <w:szCs w:val="21"/>
                <w:lang w:val="ru-RU"/>
              </w:rPr>
            </w:pPr>
            <w:r>
              <w:rPr>
                <w:rFonts w:ascii="Times New Roman" w:hAnsi="Times New Roman"/>
                <w:sz w:val="23"/>
                <w:szCs w:val="23"/>
              </w:rPr>
              <w:t>3 000</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53136FA1" w:rsidR="00FB53C9" w:rsidRDefault="00FB53C9" w:rsidP="009E6508">
      <w:pPr>
        <w:pStyle w:val="a6"/>
        <w:widowControl w:val="0"/>
        <w:numPr>
          <w:ilvl w:val="1"/>
          <w:numId w:val="36"/>
        </w:numPr>
        <w:tabs>
          <w:tab w:val="left" w:pos="0"/>
          <w:tab w:val="left" w:pos="426"/>
        </w:tabs>
        <w:autoSpaceDE w:val="0"/>
        <w:autoSpaceDN w:val="0"/>
        <w:adjustRightInd w:val="0"/>
        <w:spacing w:after="16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2BAE4DEE" w14:textId="77777777" w:rsidR="009E6508" w:rsidRPr="005A4A54" w:rsidRDefault="009E6508" w:rsidP="009E6508">
      <w:pPr>
        <w:pStyle w:val="a6"/>
        <w:widowControl w:val="0"/>
        <w:tabs>
          <w:tab w:val="left" w:pos="0"/>
          <w:tab w:val="left" w:pos="426"/>
        </w:tabs>
        <w:autoSpaceDE w:val="0"/>
        <w:autoSpaceDN w:val="0"/>
        <w:adjustRightInd w:val="0"/>
        <w:spacing w:after="160" w:line="240" w:lineRule="auto"/>
        <w:ind w:left="0"/>
        <w:jc w:val="both"/>
        <w:rPr>
          <w:rFonts w:ascii="Times New Roman" w:hAnsi="Times New Roman" w:cs="Times New Roman"/>
        </w:rPr>
      </w:pPr>
    </w:p>
    <w:p w14:paraId="441A3E7B" w14:textId="58F06027" w:rsidR="00FB53C9" w:rsidRDefault="00FB53C9" w:rsidP="009E6508">
      <w:pPr>
        <w:pStyle w:val="a6"/>
        <w:numPr>
          <w:ilvl w:val="1"/>
          <w:numId w:val="36"/>
        </w:numPr>
        <w:tabs>
          <w:tab w:val="left" w:pos="-993"/>
          <w:tab w:val="left" w:pos="426"/>
        </w:tabs>
        <w:spacing w:after="16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18A596F4" w14:textId="77777777" w:rsidR="009E6508" w:rsidRPr="005A4A54" w:rsidRDefault="009E6508" w:rsidP="009E6508">
      <w:pPr>
        <w:pStyle w:val="a6"/>
        <w:tabs>
          <w:tab w:val="left" w:pos="-993"/>
          <w:tab w:val="left" w:pos="426"/>
        </w:tabs>
        <w:spacing w:after="160" w:line="240" w:lineRule="auto"/>
        <w:ind w:left="0"/>
        <w:jc w:val="both"/>
        <w:rPr>
          <w:rFonts w:ascii="Times New Roman" w:hAnsi="Times New Roman" w:cs="Times New Roman"/>
        </w:rPr>
      </w:pPr>
    </w:p>
    <w:p w14:paraId="35F60C30" w14:textId="77777777" w:rsidR="00FB53C9" w:rsidRPr="005341D0" w:rsidRDefault="00FB53C9" w:rsidP="009E6508">
      <w:pPr>
        <w:pStyle w:val="a6"/>
        <w:numPr>
          <w:ilvl w:val="1"/>
          <w:numId w:val="36"/>
        </w:numPr>
        <w:tabs>
          <w:tab w:val="left" w:pos="-993"/>
          <w:tab w:val="left" w:pos="426"/>
        </w:tabs>
        <w:spacing w:after="16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w:t>
      </w:r>
    </w:p>
    <w:p w14:paraId="61861D90" w14:textId="77777777" w:rsidR="00FB53C9" w:rsidRPr="005341D0" w:rsidRDefault="00FB53C9" w:rsidP="009E6508">
      <w:pPr>
        <w:pStyle w:val="a6"/>
        <w:tabs>
          <w:tab w:val="left" w:pos="-993"/>
          <w:tab w:val="left" w:pos="426"/>
        </w:tabs>
        <w:spacing w:after="16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4C873A5D" w14:textId="77777777" w:rsidR="00FB53C9" w:rsidRPr="005A4A54" w:rsidRDefault="00FB53C9" w:rsidP="009E6508">
      <w:pPr>
        <w:pStyle w:val="a6"/>
        <w:tabs>
          <w:tab w:val="left" w:pos="-993"/>
          <w:tab w:val="left" w:pos="426"/>
        </w:tabs>
        <w:spacing w:after="160" w:line="240" w:lineRule="auto"/>
        <w:ind w:left="0"/>
        <w:jc w:val="both"/>
        <w:rPr>
          <w:rFonts w:ascii="Times New Roman" w:eastAsia="Times New Roman" w:hAnsi="Times New Roman"/>
          <w:color w:val="000000"/>
          <w:sz w:val="23"/>
          <w:szCs w:val="23"/>
        </w:rPr>
      </w:pPr>
      <w:r w:rsidRPr="005A4A54">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1202BD61" w14:textId="3A9BB19F" w:rsidR="00F667AF" w:rsidRPr="00AD042D" w:rsidRDefault="00FB53C9" w:rsidP="009E6508">
      <w:pPr>
        <w:tabs>
          <w:tab w:val="left" w:pos="0"/>
        </w:tabs>
        <w:spacing w:after="16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5313C"/>
    <w:rsid w:val="00060D58"/>
    <w:rsid w:val="00061EC5"/>
    <w:rsid w:val="00091FDA"/>
    <w:rsid w:val="000A07F8"/>
    <w:rsid w:val="000A5F99"/>
    <w:rsid w:val="00106D3C"/>
    <w:rsid w:val="00113F21"/>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E3AFC"/>
    <w:rsid w:val="002F6864"/>
    <w:rsid w:val="003113C8"/>
    <w:rsid w:val="00330577"/>
    <w:rsid w:val="00331BDD"/>
    <w:rsid w:val="00352031"/>
    <w:rsid w:val="00366A4B"/>
    <w:rsid w:val="00394A45"/>
    <w:rsid w:val="003A69DB"/>
    <w:rsid w:val="003B0902"/>
    <w:rsid w:val="003D4A81"/>
    <w:rsid w:val="00405E2F"/>
    <w:rsid w:val="00407000"/>
    <w:rsid w:val="00420484"/>
    <w:rsid w:val="00427E63"/>
    <w:rsid w:val="00431741"/>
    <w:rsid w:val="00436EA5"/>
    <w:rsid w:val="00447083"/>
    <w:rsid w:val="00456B17"/>
    <w:rsid w:val="00462937"/>
    <w:rsid w:val="00476356"/>
    <w:rsid w:val="0049453E"/>
    <w:rsid w:val="0049514C"/>
    <w:rsid w:val="00497460"/>
    <w:rsid w:val="005341D0"/>
    <w:rsid w:val="00552225"/>
    <w:rsid w:val="00572F0D"/>
    <w:rsid w:val="00587661"/>
    <w:rsid w:val="005A304A"/>
    <w:rsid w:val="005A35AF"/>
    <w:rsid w:val="005A3CAC"/>
    <w:rsid w:val="005A4A54"/>
    <w:rsid w:val="005E69B5"/>
    <w:rsid w:val="00660F06"/>
    <w:rsid w:val="00665EDE"/>
    <w:rsid w:val="00690323"/>
    <w:rsid w:val="0069135F"/>
    <w:rsid w:val="006A70C0"/>
    <w:rsid w:val="006D0425"/>
    <w:rsid w:val="006D259B"/>
    <w:rsid w:val="006D7CFA"/>
    <w:rsid w:val="006E602F"/>
    <w:rsid w:val="006F29A9"/>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10323"/>
    <w:rsid w:val="0095122E"/>
    <w:rsid w:val="0097232B"/>
    <w:rsid w:val="00984AA5"/>
    <w:rsid w:val="009B1F3B"/>
    <w:rsid w:val="009B6B92"/>
    <w:rsid w:val="009C5C2C"/>
    <w:rsid w:val="009D2771"/>
    <w:rsid w:val="009E6508"/>
    <w:rsid w:val="00A1119C"/>
    <w:rsid w:val="00A12844"/>
    <w:rsid w:val="00A13465"/>
    <w:rsid w:val="00A13990"/>
    <w:rsid w:val="00A22644"/>
    <w:rsid w:val="00A360F4"/>
    <w:rsid w:val="00A40367"/>
    <w:rsid w:val="00A530C3"/>
    <w:rsid w:val="00A56692"/>
    <w:rsid w:val="00A71C76"/>
    <w:rsid w:val="00A84292"/>
    <w:rsid w:val="00A8504F"/>
    <w:rsid w:val="00AD042D"/>
    <w:rsid w:val="00AD6CB1"/>
    <w:rsid w:val="00AE1AF8"/>
    <w:rsid w:val="00B104F0"/>
    <w:rsid w:val="00B11594"/>
    <w:rsid w:val="00B12014"/>
    <w:rsid w:val="00B17000"/>
    <w:rsid w:val="00B702FA"/>
    <w:rsid w:val="00B92535"/>
    <w:rsid w:val="00BB0D0A"/>
    <w:rsid w:val="00BB2515"/>
    <w:rsid w:val="00BB4BE7"/>
    <w:rsid w:val="00BD5D09"/>
    <w:rsid w:val="00C04373"/>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57FC6"/>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uiPriority w:val="20"/>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230581411">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16</cp:revision>
  <cp:lastPrinted>2023-10-13T09:17:00Z</cp:lastPrinted>
  <dcterms:created xsi:type="dcterms:W3CDTF">2023-10-11T13:10:00Z</dcterms:created>
  <dcterms:modified xsi:type="dcterms:W3CDTF">2023-10-18T11:12:00Z</dcterms:modified>
</cp:coreProperties>
</file>