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D7" w:rsidRPr="00742AD6" w:rsidRDefault="00891DD7" w:rsidP="00891DD7">
      <w:pPr>
        <w:tabs>
          <w:tab w:val="left" w:pos="9900"/>
        </w:tabs>
        <w:ind w:left="6237" w:right="-25"/>
        <w:jc w:val="both"/>
        <w:outlineLvl w:val="0"/>
        <w:rPr>
          <w:color w:val="000000"/>
          <w:sz w:val="24"/>
          <w:szCs w:val="24"/>
        </w:rPr>
      </w:pPr>
      <w:r w:rsidRPr="00742AD6">
        <w:rPr>
          <w:color w:val="000000"/>
          <w:sz w:val="24"/>
          <w:szCs w:val="24"/>
        </w:rPr>
        <w:t>Додаток № 2</w:t>
      </w:r>
    </w:p>
    <w:p w:rsidR="00891DD7" w:rsidRPr="00742AD6" w:rsidRDefault="00891DD7" w:rsidP="00891DD7">
      <w:pPr>
        <w:tabs>
          <w:tab w:val="left" w:pos="9900"/>
        </w:tabs>
        <w:ind w:left="6237" w:right="-25"/>
        <w:jc w:val="both"/>
        <w:outlineLvl w:val="0"/>
        <w:rPr>
          <w:color w:val="000000"/>
          <w:sz w:val="24"/>
          <w:szCs w:val="24"/>
        </w:rPr>
      </w:pPr>
      <w:r w:rsidRPr="00742AD6">
        <w:rPr>
          <w:color w:val="000000"/>
          <w:sz w:val="24"/>
          <w:szCs w:val="24"/>
        </w:rPr>
        <w:t>до тендерної документації</w:t>
      </w:r>
    </w:p>
    <w:p w:rsidR="00891DD7" w:rsidRPr="00742AD6" w:rsidRDefault="00891DD7" w:rsidP="00891DD7">
      <w:pPr>
        <w:tabs>
          <w:tab w:val="left" w:pos="9900"/>
        </w:tabs>
        <w:ind w:left="6237" w:right="-25"/>
        <w:jc w:val="both"/>
        <w:outlineLvl w:val="0"/>
        <w:rPr>
          <w:b/>
          <w:color w:val="000000"/>
        </w:rPr>
      </w:pPr>
    </w:p>
    <w:p w:rsidR="00891DD7" w:rsidRPr="00742AD6" w:rsidRDefault="00891DD7" w:rsidP="00891DD7">
      <w:pPr>
        <w:pStyle w:val="20"/>
        <w:keepNext/>
        <w:keepLines/>
        <w:spacing w:before="0" w:after="0" w:line="276" w:lineRule="auto"/>
        <w:ind w:firstLine="708"/>
        <w:rPr>
          <w:rFonts w:cs="Times New Roman"/>
          <w:i/>
          <w:sz w:val="24"/>
          <w:szCs w:val="24"/>
          <w:lang w:val="uk-UA"/>
        </w:rPr>
      </w:pPr>
    </w:p>
    <w:p w:rsidR="00891DD7" w:rsidRPr="00742AD6" w:rsidRDefault="00891DD7" w:rsidP="00891DD7">
      <w:pPr>
        <w:pStyle w:val="20"/>
        <w:keepNext/>
        <w:keepLines/>
        <w:spacing w:before="0" w:after="0" w:line="276" w:lineRule="auto"/>
        <w:ind w:firstLine="708"/>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891DD7" w:rsidRPr="00742AD6" w:rsidRDefault="00891DD7" w:rsidP="00891DD7">
      <w:pPr>
        <w:tabs>
          <w:tab w:val="left" w:pos="1276"/>
        </w:tabs>
        <w:spacing w:line="0" w:lineRule="atLeast"/>
        <w:rPr>
          <w:sz w:val="24"/>
          <w:szCs w:val="24"/>
        </w:rPr>
      </w:pPr>
      <w:r>
        <w:rPr>
          <w:b/>
          <w:sz w:val="24"/>
          <w:szCs w:val="24"/>
        </w:rPr>
        <w:t xml:space="preserve">Термін надання послуг: </w:t>
      </w:r>
      <w:r w:rsidRPr="00742AD6">
        <w:rPr>
          <w:b/>
          <w:sz w:val="24"/>
          <w:szCs w:val="24"/>
        </w:rPr>
        <w:t>з 01.01.2024 року по 31.12.2024 року.</w:t>
      </w:r>
    </w:p>
    <w:p w:rsidR="00891DD7" w:rsidRPr="00742AD6" w:rsidRDefault="00891DD7" w:rsidP="00891DD7">
      <w:pPr>
        <w:tabs>
          <w:tab w:val="left" w:pos="1276"/>
        </w:tabs>
        <w:spacing w:line="0" w:lineRule="atLeast"/>
        <w:rPr>
          <w:b/>
          <w:sz w:val="24"/>
          <w:szCs w:val="24"/>
        </w:rPr>
      </w:pPr>
      <w:r w:rsidRPr="00742AD6">
        <w:rPr>
          <w:b/>
          <w:sz w:val="24"/>
          <w:szCs w:val="24"/>
        </w:rPr>
        <w:t>Адреса надання послуги: Думська площа, 1</w:t>
      </w:r>
    </w:p>
    <w:p w:rsidR="00891DD7" w:rsidRPr="00742AD6" w:rsidRDefault="00891DD7" w:rsidP="00891DD7">
      <w:pPr>
        <w:tabs>
          <w:tab w:val="left" w:pos="1276"/>
        </w:tabs>
        <w:spacing w:line="0" w:lineRule="atLeast"/>
        <w:jc w:val="both"/>
        <w:rPr>
          <w:b/>
          <w:sz w:val="24"/>
          <w:szCs w:val="24"/>
        </w:rPr>
      </w:pPr>
    </w:p>
    <w:p w:rsidR="00891DD7" w:rsidRPr="00742AD6" w:rsidRDefault="00891DD7" w:rsidP="00891DD7">
      <w:pPr>
        <w:numPr>
          <w:ilvl w:val="0"/>
          <w:numId w:val="1"/>
        </w:num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Обґрунтування проведення процедури закупівлі</w:t>
      </w:r>
    </w:p>
    <w:p w:rsidR="00891DD7" w:rsidRPr="00742AD6" w:rsidRDefault="00891DD7" w:rsidP="00891DD7">
      <w:pPr>
        <w:tabs>
          <w:tab w:val="left" w:pos="1276"/>
        </w:tabs>
        <w:spacing w:line="0" w:lineRule="atLeast"/>
        <w:ind w:left="720"/>
        <w:contextualSpacing/>
        <w:rPr>
          <w:rFonts w:eastAsiaTheme="minorHAnsi"/>
          <w:b/>
          <w:sz w:val="24"/>
          <w:szCs w:val="24"/>
          <w:lang w:eastAsia="en-US"/>
        </w:rPr>
      </w:pPr>
    </w:p>
    <w:p w:rsidR="00891DD7" w:rsidRPr="00742AD6" w:rsidRDefault="00891DD7" w:rsidP="00891DD7">
      <w:pPr>
        <w:tabs>
          <w:tab w:val="left" w:pos="1276"/>
        </w:tabs>
        <w:spacing w:line="276" w:lineRule="auto"/>
        <w:ind w:firstLine="567"/>
        <w:jc w:val="both"/>
        <w:rPr>
          <w:sz w:val="24"/>
          <w:szCs w:val="24"/>
        </w:rPr>
      </w:pPr>
      <w:r w:rsidRPr="00742AD6">
        <w:rPr>
          <w:sz w:val="24"/>
          <w:szCs w:val="24"/>
        </w:rPr>
        <w:t>Виконавчий комітет Одеської міської ради (далі – Виконком) є виконавчим органом Одеської міської ради, який створюється Одеською міською радою відповідно до Закону України «Про місцеве самоврядування в Україні», Статуту територіальної громади міста Одеси та Регламенту ради.</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Виконком є юридичною особою, яка здійснює забезпечення виконання функцій органів місцевого самоврядування, взаємодіє з територіальною громадою міста, міською радою, постійними депутатськими комісіями та фракціями, виконавчими органами міськради та органами державної влади. Виконавчий комітет має намір придбати послуги з охорони адміністративної будівлі Одеської міської ради, яка розташована за адресою: 65026, м. Одеса, Думська площа, 1 (далі – Об’єкт).</w:t>
      </w:r>
    </w:p>
    <w:p w:rsidR="00891DD7" w:rsidRPr="00742AD6" w:rsidRDefault="00891DD7" w:rsidP="00891DD7">
      <w:pPr>
        <w:tabs>
          <w:tab w:val="left" w:pos="1276"/>
        </w:tabs>
        <w:spacing w:line="276" w:lineRule="auto"/>
        <w:ind w:firstLine="567"/>
        <w:jc w:val="both"/>
        <w:rPr>
          <w:sz w:val="24"/>
          <w:szCs w:val="24"/>
        </w:rPr>
      </w:pPr>
      <w:r w:rsidRPr="00742AD6">
        <w:rPr>
          <w:rFonts w:eastAsia="Calibri"/>
          <w:sz w:val="24"/>
          <w:szCs w:val="24"/>
        </w:rPr>
        <w:t xml:space="preserve">Будівля Одеської міської ради є пам’ятником архітектури національного значення і знаходиться під охороною держави (охоронний договір № 296-Д від 03.11.2006 з оновленим актом технічного стану пам’ятки від 06.04.2023). Загальна площа будівлі становить 4633,3 кв. м.  Об’єкт являє собою 3-х поверхову будівлю, мансарду </w:t>
      </w:r>
      <w:r w:rsidRPr="00742AD6">
        <w:rPr>
          <w:sz w:val="24"/>
          <w:szCs w:val="24"/>
        </w:rPr>
        <w:t>та горище, чотири виходи з різних сторін, внутрішню прибудинкову територію.</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У переважній більшості об’єкт охорони складається зі службових приміщень посадових осіб органів місцевого самоврядування, у тому числі режимного характеру. В окремих приміщеннях, які знаходяться на території об’єкта охорони, постійно зберігаються матеріальні носії службової, секретної та конфіденційної  інформації. У приміщенні об'єкта охорони проводяться офіційні заходи органу місцевого самоврядування (наради, засідання, інші офіційні заходи тощо).</w:t>
      </w:r>
    </w:p>
    <w:p w:rsidR="00891DD7" w:rsidRPr="00742AD6" w:rsidRDefault="00891DD7" w:rsidP="00891DD7">
      <w:pPr>
        <w:tabs>
          <w:tab w:val="left" w:pos="1276"/>
        </w:tabs>
        <w:spacing w:line="276" w:lineRule="auto"/>
        <w:ind w:firstLine="567"/>
        <w:jc w:val="both"/>
        <w:rPr>
          <w:bCs/>
          <w:sz w:val="24"/>
          <w:szCs w:val="24"/>
        </w:rPr>
      </w:pPr>
      <w:r w:rsidRPr="00742AD6">
        <w:rPr>
          <w:sz w:val="24"/>
          <w:szCs w:val="24"/>
        </w:rPr>
        <w:t>Враховуючи</w:t>
      </w:r>
      <w:r w:rsidRPr="00742AD6">
        <w:rPr>
          <w:b/>
          <w:sz w:val="24"/>
          <w:szCs w:val="24"/>
        </w:rPr>
        <w:t xml:space="preserve"> </w:t>
      </w:r>
      <w:r w:rsidRPr="00742AD6">
        <w:rPr>
          <w:sz w:val="24"/>
          <w:szCs w:val="24"/>
        </w:rPr>
        <w:t xml:space="preserve">вищенаведене та беручи до уваги Закон України </w:t>
      </w:r>
      <w:r w:rsidRPr="00742AD6">
        <w:rPr>
          <w:b/>
          <w:sz w:val="24"/>
          <w:szCs w:val="24"/>
        </w:rPr>
        <w:t>«</w:t>
      </w:r>
      <w:r w:rsidRPr="00742AD6">
        <w:rPr>
          <w:bCs/>
          <w:sz w:val="24"/>
          <w:szCs w:val="24"/>
        </w:rPr>
        <w:t xml:space="preserve">Про правовий режим воєнного стану» розуміючи </w:t>
      </w:r>
      <w:r w:rsidRPr="00742AD6">
        <w:rPr>
          <w:sz w:val="24"/>
          <w:szCs w:val="24"/>
        </w:rPr>
        <w:t>ситуацію, яка склалася в державі з територіальною цілісністю та національною безпекою, з метою забезпечення  стабільності в місті Одеса виникає нагальна потреба в безперебійній та стабільній роботі адміністрації міста, як представника органа місцевого самоврядування та одного із с</w:t>
      </w:r>
      <w:r w:rsidRPr="00742AD6">
        <w:rPr>
          <w:bCs/>
          <w:sz w:val="24"/>
          <w:szCs w:val="24"/>
        </w:rPr>
        <w:t>уб’єктів забезпечення національної безпеки.</w:t>
      </w:r>
    </w:p>
    <w:p w:rsidR="00891DD7" w:rsidRPr="00742AD6" w:rsidRDefault="00891DD7" w:rsidP="00891DD7">
      <w:p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2. Загальні вимоги</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 xml:space="preserve">Для надійної та ефективної охорони адміністративної будівлі виділяється два працівника охорони (далі – охоронці) на один денний  пост, який розташований на першому поверсі біля головного входу до адміністративної будівлі. Черговий охоронець, який здійснює охорону на першому посту, здійснює заходи охорони шляхом слідкування за дотриманням громадського порядку відвідувачами </w:t>
      </w:r>
      <w:proofErr w:type="spellStart"/>
      <w:r w:rsidRPr="00742AD6">
        <w:rPr>
          <w:sz w:val="24"/>
          <w:szCs w:val="24"/>
        </w:rPr>
        <w:t>адмінбудівлі</w:t>
      </w:r>
      <w:proofErr w:type="spellEnd"/>
      <w:r w:rsidRPr="00742AD6">
        <w:rPr>
          <w:sz w:val="24"/>
          <w:szCs w:val="24"/>
        </w:rPr>
        <w:t xml:space="preserve">. </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 xml:space="preserve">У зв’язку з введенням воєнного стану в державі з 24 лютого 2022 року відповідно ст. 71-73 </w:t>
      </w:r>
      <w:proofErr w:type="spellStart"/>
      <w:r w:rsidRPr="00742AD6">
        <w:rPr>
          <w:sz w:val="24"/>
          <w:szCs w:val="24"/>
        </w:rPr>
        <w:t>КЗУпП</w:t>
      </w:r>
      <w:proofErr w:type="spellEnd"/>
      <w:r w:rsidRPr="00742AD6">
        <w:rPr>
          <w:sz w:val="24"/>
          <w:szCs w:val="24"/>
        </w:rPr>
        <w:t xml:space="preserve"> призупинені вихідні, святкові та передсвяткові дні. </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Час надання послуг одного охоронця:</w:t>
      </w:r>
    </w:p>
    <w:p w:rsidR="00891DD7" w:rsidRPr="00742AD6" w:rsidRDefault="00891DD7" w:rsidP="00891DD7">
      <w:pPr>
        <w:numPr>
          <w:ilvl w:val="0"/>
          <w:numId w:val="2"/>
        </w:numPr>
        <w:tabs>
          <w:tab w:val="left" w:pos="1276"/>
        </w:tabs>
        <w:spacing w:line="276" w:lineRule="auto"/>
        <w:contextualSpacing/>
        <w:jc w:val="both"/>
        <w:rPr>
          <w:rFonts w:eastAsiaTheme="minorHAnsi"/>
          <w:color w:val="FF0000"/>
          <w:sz w:val="24"/>
          <w:szCs w:val="24"/>
          <w:lang w:eastAsia="en-US"/>
        </w:rPr>
      </w:pPr>
      <w:r w:rsidRPr="00742AD6">
        <w:rPr>
          <w:rFonts w:eastAsiaTheme="minorHAnsi"/>
          <w:sz w:val="24"/>
          <w:szCs w:val="24"/>
          <w:lang w:eastAsia="en-US"/>
        </w:rPr>
        <w:lastRenderedPageBreak/>
        <w:t>Робочий день – 08.00-12.00; 13.00-17.00; (8 годин). Обідня перерва з 12 до 13 годин. Кількість робочих днів – 366.</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Послуги з охорони здійснюються сумісно з КУ «Муніципальна варта», яка здійснює цілодобове чергування на об’єкті. До розрахунку можуть вноситись зміни в залежності від затвердженого робочого графіку на Об’єкті про що письмово за 14 календарних днів повідомляється керівництво персоналу охорони.</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 xml:space="preserve">Згідно Конституції України, Закону України «Про службу в органах місцевого самоврядування», Регламенту виконавчих органів Одеської міської ради визначається механізм організації взаємодії департаментів, управлінь, відділів, комунальних установ та підприємств. Діяльність органів місцевого самоуправління передбачає планування й організацію належної роботи, їх безперешкодної  взаємодії з постійними комісіями, депутатськими фракціями та територіальною громадою міста. З метою забезпечення умов для реалізації функцій передбачених законодавством, а також враховуючи велику кількість людей, які відвідують адміністративну будівлю Одеської міської ради, з метою недопущення сутичок, образ, закликів до розпалювання національної, расової, релігійної ворожнечі та інших протиправних дій, що тягнуть за собою кримінальну та адміністративну відповідальність, персонал охорони повинен бути кваліфікованим та толерантним. </w:t>
      </w:r>
    </w:p>
    <w:p w:rsidR="00891DD7" w:rsidRPr="00742AD6" w:rsidRDefault="00891DD7" w:rsidP="00891DD7">
      <w:pPr>
        <w:tabs>
          <w:tab w:val="left" w:pos="1276"/>
        </w:tabs>
        <w:spacing w:line="276" w:lineRule="auto"/>
        <w:ind w:firstLine="567"/>
        <w:jc w:val="both"/>
        <w:rPr>
          <w:sz w:val="24"/>
          <w:szCs w:val="24"/>
        </w:rPr>
      </w:pPr>
      <w:r w:rsidRPr="00742AD6">
        <w:rPr>
          <w:sz w:val="24"/>
          <w:szCs w:val="24"/>
        </w:rPr>
        <w:t>Персонал охорони зобов’язаний забезпечити здійснення охорони на посту згідно Дислокації (див. таблицю)</w:t>
      </w:r>
    </w:p>
    <w:p w:rsidR="00891DD7" w:rsidRPr="00742AD6" w:rsidRDefault="00891DD7" w:rsidP="00891DD7">
      <w:pPr>
        <w:tabs>
          <w:tab w:val="left" w:pos="1276"/>
        </w:tabs>
        <w:spacing w:line="0" w:lineRule="atLeast"/>
        <w:ind w:firstLine="567"/>
        <w:jc w:val="both"/>
        <w:rPr>
          <w:sz w:val="24"/>
          <w:szCs w:val="24"/>
        </w:rPr>
      </w:pPr>
    </w:p>
    <w:tbl>
      <w:tblPr>
        <w:tblStyle w:val="200"/>
        <w:tblW w:w="9639" w:type="dxa"/>
        <w:tblInd w:w="108" w:type="dxa"/>
        <w:tblLayout w:type="fixed"/>
        <w:tblLook w:val="04A0" w:firstRow="1" w:lastRow="0" w:firstColumn="1" w:lastColumn="0" w:noHBand="0" w:noVBand="1"/>
      </w:tblPr>
      <w:tblGrid>
        <w:gridCol w:w="851"/>
        <w:gridCol w:w="2977"/>
        <w:gridCol w:w="2268"/>
        <w:gridCol w:w="3543"/>
      </w:tblGrid>
      <w:tr w:rsidR="00891DD7" w:rsidRPr="00742AD6" w:rsidTr="008A043E">
        <w:tc>
          <w:tcPr>
            <w:tcW w:w="851" w:type="dxa"/>
            <w:vAlign w:val="center"/>
          </w:tcPr>
          <w:p w:rsidR="00891DD7" w:rsidRPr="00742AD6" w:rsidRDefault="00891DD7" w:rsidP="008A043E">
            <w:pPr>
              <w:tabs>
                <w:tab w:val="left" w:pos="1276"/>
              </w:tabs>
              <w:spacing w:line="0" w:lineRule="atLeast"/>
              <w:jc w:val="center"/>
              <w:rPr>
                <w:sz w:val="24"/>
                <w:szCs w:val="24"/>
              </w:rPr>
            </w:pPr>
            <w:r w:rsidRPr="00742AD6">
              <w:rPr>
                <w:sz w:val="24"/>
                <w:szCs w:val="24"/>
              </w:rPr>
              <w:t>№ поста</w:t>
            </w:r>
          </w:p>
        </w:tc>
        <w:tc>
          <w:tcPr>
            <w:tcW w:w="2977" w:type="dxa"/>
            <w:vAlign w:val="center"/>
          </w:tcPr>
          <w:p w:rsidR="00891DD7" w:rsidRPr="00742AD6" w:rsidRDefault="00891DD7" w:rsidP="008A043E">
            <w:pPr>
              <w:tabs>
                <w:tab w:val="left" w:pos="1276"/>
              </w:tabs>
              <w:spacing w:line="0" w:lineRule="atLeast"/>
              <w:jc w:val="center"/>
              <w:rPr>
                <w:sz w:val="24"/>
                <w:szCs w:val="24"/>
              </w:rPr>
            </w:pPr>
            <w:r w:rsidRPr="00742AD6">
              <w:rPr>
                <w:sz w:val="24"/>
                <w:szCs w:val="24"/>
              </w:rPr>
              <w:t>Назва Об’єкту</w:t>
            </w:r>
          </w:p>
        </w:tc>
        <w:tc>
          <w:tcPr>
            <w:tcW w:w="2268" w:type="dxa"/>
            <w:vAlign w:val="center"/>
          </w:tcPr>
          <w:p w:rsidR="00891DD7" w:rsidRPr="00742AD6" w:rsidRDefault="00891DD7" w:rsidP="008A043E">
            <w:pPr>
              <w:tabs>
                <w:tab w:val="left" w:pos="1276"/>
              </w:tabs>
              <w:spacing w:line="0" w:lineRule="atLeast"/>
              <w:jc w:val="center"/>
              <w:rPr>
                <w:sz w:val="24"/>
                <w:szCs w:val="24"/>
              </w:rPr>
            </w:pPr>
            <w:r w:rsidRPr="00742AD6">
              <w:rPr>
                <w:sz w:val="24"/>
                <w:szCs w:val="24"/>
              </w:rPr>
              <w:t>Адреса</w:t>
            </w:r>
          </w:p>
        </w:tc>
        <w:tc>
          <w:tcPr>
            <w:tcW w:w="3543" w:type="dxa"/>
            <w:vAlign w:val="center"/>
          </w:tcPr>
          <w:p w:rsidR="00891DD7" w:rsidRPr="00742AD6" w:rsidRDefault="00891DD7" w:rsidP="008A043E">
            <w:pPr>
              <w:tabs>
                <w:tab w:val="left" w:pos="1276"/>
              </w:tabs>
              <w:spacing w:line="0" w:lineRule="atLeast"/>
              <w:jc w:val="center"/>
              <w:rPr>
                <w:sz w:val="24"/>
                <w:szCs w:val="24"/>
              </w:rPr>
            </w:pPr>
            <w:r w:rsidRPr="00742AD6">
              <w:rPr>
                <w:sz w:val="24"/>
                <w:szCs w:val="24"/>
              </w:rPr>
              <w:t>Кількість та тип постів</w:t>
            </w:r>
          </w:p>
        </w:tc>
      </w:tr>
      <w:tr w:rsidR="00891DD7" w:rsidRPr="00742AD6" w:rsidTr="008A043E">
        <w:tc>
          <w:tcPr>
            <w:tcW w:w="851" w:type="dxa"/>
          </w:tcPr>
          <w:p w:rsidR="00891DD7" w:rsidRPr="00742AD6" w:rsidRDefault="00891DD7" w:rsidP="008A043E">
            <w:pPr>
              <w:tabs>
                <w:tab w:val="left" w:pos="1276"/>
              </w:tabs>
              <w:spacing w:line="0" w:lineRule="atLeast"/>
              <w:jc w:val="both"/>
              <w:rPr>
                <w:sz w:val="24"/>
                <w:szCs w:val="24"/>
              </w:rPr>
            </w:pPr>
          </w:p>
          <w:p w:rsidR="00891DD7" w:rsidRPr="00742AD6" w:rsidRDefault="00891DD7" w:rsidP="008A043E">
            <w:pPr>
              <w:tabs>
                <w:tab w:val="left" w:pos="1276"/>
              </w:tabs>
              <w:spacing w:line="0" w:lineRule="atLeast"/>
              <w:jc w:val="center"/>
              <w:rPr>
                <w:sz w:val="24"/>
                <w:szCs w:val="24"/>
              </w:rPr>
            </w:pPr>
            <w:r w:rsidRPr="00742AD6">
              <w:rPr>
                <w:sz w:val="24"/>
                <w:szCs w:val="24"/>
              </w:rPr>
              <w:t>1</w:t>
            </w:r>
          </w:p>
        </w:tc>
        <w:tc>
          <w:tcPr>
            <w:tcW w:w="2977" w:type="dxa"/>
            <w:vAlign w:val="center"/>
          </w:tcPr>
          <w:p w:rsidR="00891DD7" w:rsidRPr="00742AD6" w:rsidRDefault="00891DD7" w:rsidP="008A043E">
            <w:pPr>
              <w:tabs>
                <w:tab w:val="left" w:pos="1276"/>
              </w:tabs>
              <w:spacing w:line="0" w:lineRule="atLeast"/>
              <w:jc w:val="both"/>
              <w:rPr>
                <w:sz w:val="24"/>
                <w:szCs w:val="24"/>
              </w:rPr>
            </w:pPr>
            <w:r w:rsidRPr="00742AD6">
              <w:rPr>
                <w:sz w:val="24"/>
                <w:szCs w:val="24"/>
              </w:rPr>
              <w:t>Виконавчий комітет</w:t>
            </w:r>
          </w:p>
          <w:p w:rsidR="00891DD7" w:rsidRPr="00742AD6" w:rsidRDefault="00891DD7" w:rsidP="008A043E">
            <w:pPr>
              <w:tabs>
                <w:tab w:val="left" w:pos="1276"/>
              </w:tabs>
              <w:spacing w:line="0" w:lineRule="atLeast"/>
              <w:jc w:val="both"/>
              <w:rPr>
                <w:sz w:val="24"/>
                <w:szCs w:val="24"/>
              </w:rPr>
            </w:pPr>
            <w:r w:rsidRPr="00742AD6">
              <w:rPr>
                <w:sz w:val="24"/>
                <w:szCs w:val="24"/>
              </w:rPr>
              <w:t xml:space="preserve">Одеської міської ради </w:t>
            </w:r>
          </w:p>
        </w:tc>
        <w:tc>
          <w:tcPr>
            <w:tcW w:w="2268" w:type="dxa"/>
            <w:vAlign w:val="center"/>
          </w:tcPr>
          <w:p w:rsidR="00891DD7" w:rsidRPr="00742AD6" w:rsidRDefault="00891DD7" w:rsidP="008A043E">
            <w:pPr>
              <w:tabs>
                <w:tab w:val="left" w:pos="1276"/>
              </w:tabs>
              <w:spacing w:line="0" w:lineRule="atLeast"/>
              <w:jc w:val="both"/>
              <w:rPr>
                <w:sz w:val="24"/>
                <w:szCs w:val="24"/>
              </w:rPr>
            </w:pPr>
            <w:r w:rsidRPr="00742AD6">
              <w:rPr>
                <w:sz w:val="24"/>
                <w:szCs w:val="24"/>
              </w:rPr>
              <w:t>65026, м. Одеса,</w:t>
            </w:r>
          </w:p>
          <w:p w:rsidR="00891DD7" w:rsidRPr="00742AD6" w:rsidRDefault="00891DD7" w:rsidP="008A043E">
            <w:pPr>
              <w:tabs>
                <w:tab w:val="left" w:pos="1276"/>
              </w:tabs>
              <w:spacing w:line="0" w:lineRule="atLeast"/>
              <w:jc w:val="both"/>
              <w:rPr>
                <w:sz w:val="24"/>
                <w:szCs w:val="24"/>
              </w:rPr>
            </w:pPr>
            <w:r w:rsidRPr="00742AD6">
              <w:rPr>
                <w:sz w:val="24"/>
                <w:szCs w:val="24"/>
              </w:rPr>
              <w:t>Думська площа, 1</w:t>
            </w:r>
          </w:p>
        </w:tc>
        <w:tc>
          <w:tcPr>
            <w:tcW w:w="3543" w:type="dxa"/>
            <w:vAlign w:val="center"/>
          </w:tcPr>
          <w:p w:rsidR="00891DD7" w:rsidRPr="00742AD6" w:rsidRDefault="00891DD7" w:rsidP="008A043E">
            <w:pPr>
              <w:tabs>
                <w:tab w:val="left" w:pos="1276"/>
              </w:tabs>
              <w:spacing w:line="0" w:lineRule="atLeast"/>
              <w:jc w:val="both"/>
              <w:rPr>
                <w:sz w:val="24"/>
                <w:szCs w:val="24"/>
              </w:rPr>
            </w:pPr>
            <w:r w:rsidRPr="00742AD6">
              <w:rPr>
                <w:sz w:val="24"/>
                <w:szCs w:val="24"/>
              </w:rPr>
              <w:t>1 денний пост (центральний вхід в будівлю) з 2 (двома) охоронцями</w:t>
            </w:r>
          </w:p>
        </w:tc>
      </w:tr>
    </w:tbl>
    <w:p w:rsidR="00891DD7" w:rsidRPr="00742AD6" w:rsidRDefault="00891DD7" w:rsidP="00891DD7">
      <w:pPr>
        <w:tabs>
          <w:tab w:val="left" w:pos="1276"/>
        </w:tabs>
        <w:spacing w:line="0" w:lineRule="atLeast"/>
        <w:jc w:val="center"/>
        <w:rPr>
          <w:b/>
          <w:sz w:val="24"/>
          <w:szCs w:val="24"/>
        </w:rPr>
      </w:pPr>
      <w:r w:rsidRPr="00742AD6">
        <w:rPr>
          <w:b/>
          <w:sz w:val="24"/>
          <w:szCs w:val="24"/>
        </w:rPr>
        <w:t xml:space="preserve">3. Кваліфікаційні вимоги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Охоронець повинен:</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3.1. Мати досвід роботи у сфері громадського порядку та громадської безпеки. Вміти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3.2. Забезпечувати у межах наданих повноважень охорону Об’єкту</w:t>
      </w:r>
      <w:r w:rsidRPr="00742AD6">
        <w:rPr>
          <w:b/>
          <w:sz w:val="24"/>
          <w:szCs w:val="24"/>
        </w:rPr>
        <w:t xml:space="preserve"> </w:t>
      </w:r>
      <w:r w:rsidRPr="00742AD6">
        <w:rPr>
          <w:sz w:val="24"/>
          <w:szCs w:val="24"/>
        </w:rPr>
        <w:t>з метою зберігання на ньому товарно-матеріальних цінностей та документів від розкрадання, пошкодження чи знищення, шляхом контролю за цілісністю Об’єкту та схоронністю майна, що там зберігається;</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3.3. Здійснювати оперативне реагування мобільними групами на сигнали «Тривога», що надходять з контрольно-приймальних приладів будівлі яка  охороняється;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3.4. Мати право проводити поверхневий огляд речей, затримувати порушників та викликати оперативно-слідчу групу для з’ясування обставин або доставляти порушників до уповноважених державних органів.</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3.5. Мати необхідні знання та досвід, які підтверджуються кваліфікаційними вимогами, визначеними  Ліцензійними умовами провадження охоронної діяльності, затвердженими постановою Кабінету Міністрів України від 18.11.15 № 960.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3.6. Мати у наявності посвідчення, оформлене відповідним чином, дозволи установленого зразка на право носіння та застосування спеціальних засобів та знаки належності до конкретного суб’єкта охоронної діяльності. </w:t>
      </w:r>
    </w:p>
    <w:p w:rsidR="00891DD7" w:rsidRPr="00742AD6" w:rsidRDefault="00891DD7" w:rsidP="00891DD7">
      <w:pPr>
        <w:tabs>
          <w:tab w:val="left" w:pos="1276"/>
        </w:tabs>
        <w:spacing w:line="0" w:lineRule="atLeast"/>
        <w:ind w:firstLine="567"/>
        <w:jc w:val="both"/>
        <w:rPr>
          <w:sz w:val="24"/>
          <w:szCs w:val="24"/>
          <w:lang w:eastAsia="en-US"/>
        </w:rPr>
      </w:pPr>
      <w:r w:rsidRPr="00742AD6">
        <w:rPr>
          <w:sz w:val="24"/>
          <w:szCs w:val="24"/>
          <w:lang w:eastAsia="en-US"/>
        </w:rPr>
        <w:t xml:space="preserve">Інформація про наявність працівників відповідної кваліфікації, які мають необхідні знання та досвід, надається згідно зразка. (Таблиця 1) </w:t>
      </w:r>
    </w:p>
    <w:p w:rsidR="00891DD7" w:rsidRPr="00742AD6" w:rsidRDefault="00891DD7" w:rsidP="00891DD7">
      <w:pPr>
        <w:tabs>
          <w:tab w:val="left" w:pos="1276"/>
        </w:tabs>
        <w:spacing w:line="0" w:lineRule="atLeast"/>
        <w:jc w:val="both"/>
        <w:rPr>
          <w:b/>
          <w:sz w:val="24"/>
          <w:szCs w:val="24"/>
          <w:lang w:eastAsia="en-US"/>
        </w:rPr>
      </w:pPr>
      <w:r w:rsidRPr="00742AD6">
        <w:rPr>
          <w:b/>
          <w:sz w:val="24"/>
          <w:szCs w:val="24"/>
          <w:lang w:eastAsia="en-US"/>
        </w:rPr>
        <w:lastRenderedPageBreak/>
        <w:t xml:space="preserve">                                                                                                                             Таблиця 1</w:t>
      </w:r>
    </w:p>
    <w:p w:rsidR="00891DD7" w:rsidRPr="00742AD6" w:rsidRDefault="00891DD7" w:rsidP="00891DD7">
      <w:pPr>
        <w:tabs>
          <w:tab w:val="left" w:pos="1276"/>
        </w:tabs>
        <w:spacing w:line="0" w:lineRule="atLeast"/>
        <w:jc w:val="both"/>
        <w:rPr>
          <w:b/>
          <w:sz w:val="24"/>
          <w:szCs w:val="24"/>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919"/>
        <w:gridCol w:w="2835"/>
        <w:gridCol w:w="2126"/>
      </w:tblGrid>
      <w:tr w:rsidR="00891DD7" w:rsidRPr="00742AD6" w:rsidTr="008A043E">
        <w:trPr>
          <w:trHeight w:val="959"/>
        </w:trPr>
        <w:tc>
          <w:tcPr>
            <w:tcW w:w="1909" w:type="dxa"/>
            <w:tcBorders>
              <w:top w:val="single" w:sz="4" w:space="0" w:color="auto"/>
              <w:left w:val="single" w:sz="4" w:space="0" w:color="auto"/>
              <w:bottom w:val="single" w:sz="4" w:space="0" w:color="auto"/>
              <w:right w:val="single" w:sz="4" w:space="0" w:color="auto"/>
            </w:tcBorders>
            <w:vAlign w:val="center"/>
          </w:tcPr>
          <w:p w:rsidR="00891DD7" w:rsidRPr="00742AD6" w:rsidRDefault="00891DD7" w:rsidP="008A043E">
            <w:pPr>
              <w:tabs>
                <w:tab w:val="left" w:pos="1276"/>
              </w:tabs>
              <w:jc w:val="center"/>
              <w:rPr>
                <w:sz w:val="24"/>
                <w:szCs w:val="24"/>
                <w:lang w:eastAsia="en-US"/>
              </w:rPr>
            </w:pPr>
            <w:r w:rsidRPr="00742AD6">
              <w:rPr>
                <w:sz w:val="24"/>
                <w:szCs w:val="24"/>
                <w:lang w:eastAsia="en-US"/>
              </w:rPr>
              <w:t>ПІБ</w:t>
            </w:r>
          </w:p>
        </w:tc>
        <w:tc>
          <w:tcPr>
            <w:tcW w:w="1919" w:type="dxa"/>
            <w:tcBorders>
              <w:top w:val="single" w:sz="4" w:space="0" w:color="auto"/>
              <w:left w:val="single" w:sz="4" w:space="0" w:color="auto"/>
              <w:bottom w:val="single" w:sz="4" w:space="0" w:color="auto"/>
              <w:right w:val="single" w:sz="4" w:space="0" w:color="auto"/>
            </w:tcBorders>
            <w:vAlign w:val="center"/>
          </w:tcPr>
          <w:p w:rsidR="00891DD7" w:rsidRPr="00742AD6" w:rsidRDefault="00891DD7" w:rsidP="008A043E">
            <w:pPr>
              <w:tabs>
                <w:tab w:val="left" w:pos="1276"/>
              </w:tabs>
              <w:jc w:val="center"/>
              <w:rPr>
                <w:sz w:val="24"/>
                <w:szCs w:val="24"/>
                <w:lang w:eastAsia="en-US"/>
              </w:rPr>
            </w:pPr>
            <w:r w:rsidRPr="00742AD6">
              <w:rPr>
                <w:sz w:val="24"/>
                <w:szCs w:val="24"/>
                <w:lang w:eastAsia="en-US"/>
              </w:rPr>
              <w:t>Посада</w:t>
            </w:r>
          </w:p>
        </w:tc>
        <w:tc>
          <w:tcPr>
            <w:tcW w:w="2835" w:type="dxa"/>
            <w:tcBorders>
              <w:top w:val="single" w:sz="4" w:space="0" w:color="auto"/>
              <w:left w:val="single" w:sz="4" w:space="0" w:color="auto"/>
              <w:bottom w:val="single" w:sz="4" w:space="0" w:color="auto"/>
              <w:right w:val="single" w:sz="4" w:space="0" w:color="auto"/>
            </w:tcBorders>
            <w:vAlign w:val="center"/>
          </w:tcPr>
          <w:p w:rsidR="00891DD7" w:rsidRPr="00742AD6" w:rsidRDefault="00891DD7" w:rsidP="008A043E">
            <w:pPr>
              <w:tabs>
                <w:tab w:val="left" w:pos="1276"/>
              </w:tabs>
              <w:jc w:val="center"/>
              <w:rPr>
                <w:sz w:val="24"/>
                <w:szCs w:val="24"/>
                <w:lang w:eastAsia="en-US"/>
              </w:rPr>
            </w:pPr>
            <w:r w:rsidRPr="00742AD6">
              <w:rPr>
                <w:sz w:val="24"/>
                <w:szCs w:val="24"/>
                <w:lang w:eastAsia="en-US"/>
              </w:rPr>
              <w:t>Стаж (досвід) роботи</w:t>
            </w:r>
          </w:p>
          <w:p w:rsidR="00891DD7" w:rsidRPr="00742AD6" w:rsidRDefault="00891DD7" w:rsidP="008A043E">
            <w:pPr>
              <w:tabs>
                <w:tab w:val="left" w:pos="1276"/>
              </w:tabs>
              <w:jc w:val="center"/>
              <w:rPr>
                <w:sz w:val="24"/>
                <w:szCs w:val="24"/>
                <w:lang w:eastAsia="en-US"/>
              </w:rPr>
            </w:pPr>
            <w:r w:rsidRPr="00742AD6">
              <w:rPr>
                <w:sz w:val="24"/>
                <w:szCs w:val="24"/>
                <w:lang w:eastAsia="en-US"/>
              </w:rPr>
              <w:t>на підприємстві</w:t>
            </w:r>
          </w:p>
        </w:tc>
        <w:tc>
          <w:tcPr>
            <w:tcW w:w="2126" w:type="dxa"/>
            <w:tcBorders>
              <w:top w:val="single" w:sz="4" w:space="0" w:color="auto"/>
              <w:left w:val="single" w:sz="4" w:space="0" w:color="auto"/>
              <w:bottom w:val="single" w:sz="4" w:space="0" w:color="auto"/>
              <w:right w:val="single" w:sz="4" w:space="0" w:color="auto"/>
            </w:tcBorders>
            <w:vAlign w:val="center"/>
          </w:tcPr>
          <w:p w:rsidR="00891DD7" w:rsidRPr="00742AD6" w:rsidRDefault="00891DD7" w:rsidP="008A043E">
            <w:pPr>
              <w:tabs>
                <w:tab w:val="left" w:pos="1276"/>
              </w:tabs>
              <w:jc w:val="center"/>
              <w:rPr>
                <w:sz w:val="24"/>
                <w:szCs w:val="24"/>
                <w:lang w:eastAsia="en-US"/>
              </w:rPr>
            </w:pPr>
            <w:r w:rsidRPr="00742AD6">
              <w:rPr>
                <w:sz w:val="24"/>
                <w:szCs w:val="24"/>
                <w:lang w:eastAsia="en-US"/>
              </w:rPr>
              <w:t>Освіта</w:t>
            </w:r>
          </w:p>
        </w:tc>
      </w:tr>
      <w:tr w:rsidR="00891DD7" w:rsidRPr="00742AD6" w:rsidTr="008A043E">
        <w:trPr>
          <w:trHeight w:val="316"/>
        </w:trPr>
        <w:tc>
          <w:tcPr>
            <w:tcW w:w="1909"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center"/>
              <w:rPr>
                <w:sz w:val="24"/>
                <w:szCs w:val="24"/>
                <w:lang w:eastAsia="en-US"/>
              </w:rPr>
            </w:pPr>
            <w:r w:rsidRPr="00742AD6">
              <w:rPr>
                <w:sz w:val="24"/>
                <w:szCs w:val="24"/>
                <w:lang w:eastAsia="en-US"/>
              </w:rPr>
              <w:t>1</w:t>
            </w:r>
          </w:p>
        </w:tc>
        <w:tc>
          <w:tcPr>
            <w:tcW w:w="1919"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center"/>
              <w:rPr>
                <w:sz w:val="24"/>
                <w:szCs w:val="24"/>
                <w:lang w:eastAsia="en-US"/>
              </w:rPr>
            </w:pPr>
            <w:r w:rsidRPr="00742AD6">
              <w:rPr>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center"/>
              <w:rPr>
                <w:sz w:val="24"/>
                <w:szCs w:val="24"/>
                <w:lang w:eastAsia="en-US"/>
              </w:rPr>
            </w:pPr>
            <w:r w:rsidRPr="00742AD6">
              <w:rPr>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center"/>
              <w:rPr>
                <w:sz w:val="24"/>
                <w:szCs w:val="24"/>
                <w:lang w:eastAsia="en-US"/>
              </w:rPr>
            </w:pPr>
            <w:r w:rsidRPr="00742AD6">
              <w:rPr>
                <w:sz w:val="24"/>
                <w:szCs w:val="24"/>
                <w:lang w:eastAsia="en-US"/>
              </w:rPr>
              <w:t>4</w:t>
            </w:r>
          </w:p>
        </w:tc>
      </w:tr>
      <w:tr w:rsidR="00891DD7" w:rsidRPr="00742AD6" w:rsidTr="008A043E">
        <w:trPr>
          <w:trHeight w:val="335"/>
        </w:trPr>
        <w:tc>
          <w:tcPr>
            <w:tcW w:w="1909"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both"/>
              <w:rPr>
                <w:sz w:val="24"/>
                <w:szCs w:val="24"/>
                <w:lang w:eastAsia="en-US"/>
              </w:rPr>
            </w:pPr>
          </w:p>
        </w:tc>
        <w:tc>
          <w:tcPr>
            <w:tcW w:w="1919"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91DD7" w:rsidRPr="00742AD6" w:rsidRDefault="00891DD7" w:rsidP="008A043E">
            <w:pPr>
              <w:tabs>
                <w:tab w:val="left" w:pos="1276"/>
              </w:tabs>
              <w:spacing w:line="0" w:lineRule="atLeast"/>
              <w:jc w:val="both"/>
              <w:rPr>
                <w:sz w:val="24"/>
                <w:szCs w:val="24"/>
                <w:lang w:eastAsia="en-US"/>
              </w:rPr>
            </w:pPr>
          </w:p>
        </w:tc>
      </w:tr>
    </w:tbl>
    <w:p w:rsidR="00891DD7" w:rsidRPr="00742AD6" w:rsidRDefault="00891DD7" w:rsidP="00891DD7">
      <w:pPr>
        <w:tabs>
          <w:tab w:val="left" w:pos="1276"/>
        </w:tabs>
        <w:spacing w:line="0" w:lineRule="atLeast"/>
        <w:jc w:val="center"/>
        <w:rPr>
          <w:b/>
          <w:sz w:val="24"/>
          <w:szCs w:val="24"/>
        </w:rPr>
      </w:pPr>
      <w:r w:rsidRPr="00742AD6">
        <w:rPr>
          <w:b/>
          <w:sz w:val="24"/>
          <w:szCs w:val="24"/>
        </w:rPr>
        <w:t>4. Вимоги щодо надання послуг</w:t>
      </w:r>
    </w:p>
    <w:p w:rsidR="00891DD7" w:rsidRPr="00742AD6" w:rsidRDefault="00891DD7" w:rsidP="00891DD7">
      <w:pPr>
        <w:tabs>
          <w:tab w:val="left" w:pos="1276"/>
        </w:tabs>
        <w:ind w:firstLine="567"/>
        <w:jc w:val="both"/>
        <w:rPr>
          <w:sz w:val="24"/>
          <w:szCs w:val="24"/>
        </w:rPr>
      </w:pPr>
      <w:r w:rsidRPr="00742AD6">
        <w:rPr>
          <w:sz w:val="24"/>
          <w:szCs w:val="24"/>
        </w:rPr>
        <w:t>4.1</w:t>
      </w:r>
      <w:r w:rsidRPr="00742AD6">
        <w:rPr>
          <w:b/>
          <w:sz w:val="24"/>
          <w:szCs w:val="24"/>
        </w:rPr>
        <w:t xml:space="preserve">. </w:t>
      </w:r>
      <w:r w:rsidRPr="00742AD6">
        <w:rPr>
          <w:sz w:val="24"/>
          <w:szCs w:val="24"/>
        </w:rPr>
        <w:t>Охоронець несе матеріальну відповідальність у випадках пошкодження або розукомплектування майна, якщо буде доведено що це відбулося під час надання послуг охорони (згідно Розрахунку), і у разі доведення вини або бездіяльності охоронця.</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4.2. Здійснення охоронцями контролю за роботою охоронної і пожежної сигналізації на Об’єкті.</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4.3. Здійснення охоронцями контролю за переміщенням (внесенням та винесенням) товарно-матеріальних цінностей на Об’єкті, а також запобігання несанкціонованому проникненню сторонніх осіб на Об’єкт.</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4.4. Дотримання пропускного режиму, а саме: допускати на Об’єкт працівників Замовника після пред’явлення спеціального посвідчення, інших осіб – після пред’явлення паспорту громадянина України або іншого документу, що посвідчує особу, забезпечення та контроль здійснення їх реєстрації у книзі прийому відвідувачів (із зазначенням прізвищ, ім’я, по-батькові, назви організації, та осіб, яких вони відвідують).</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4.5. Дотримання охоронцями встановлених правил та режиму пожежної безпеки на посту охорони та на Об’єкті в цілому.</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4.6. Здійснення негайного оповіщення та виклик мобільної групи охорони або аварійно-рятувального підрозділу ГУ ДСНС України та відповідальних працівників Замовника у випадку виявлення вчинення на Об’єкті протиправних дій, виникнення пожежі або спрацювання охоронної або пожежної сигналізації, чи виникнення іншої надзвичайної ситуації. Сприяння усуненню та локалізації наслідків виниклої надзвичайної ситуації на Об’єкті.</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4.7. Організація та забезпечення підтримки правопорядку на Об’єкті, проведення заходів, направлених на виявлення і попередження порушення громадського порядку та безпеки третіми особами на Об’єкті.</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4.8. Здійснення негайного оповіщення чергової частини Міністерства внутрішніх справ та відповідальних працівників Замовника у випадку виявлення порушення цілісності Об’єктів, крадіжки, грабежу, розбою, підпалу, тощо; до прибуття представників вищезазначених органів охоронець забезпечує недоторканість місця події.</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4.9. Використання охоронцями наданих телефонних мереж виключно у службових цілях та експлуатацію контрольно-приймальних приладів охоронної та пожежної сигналізації відповідно до технічної документації.</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4.10. Проведення контролю за виконанням обов’язків щодо охорони Об’єкту охоронцями.</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4.11. Надання Замовнику графіків чергування охоронців по Об’єкту із зазначенням прізвища, ім’я, по-батькові охоронців, дати та Об’єкту, на якому вони будуть нести чергування, письмово попереджувати Замовника про зміни у графіку чергування охоронців.</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4.12</w:t>
      </w:r>
      <w:r w:rsidRPr="00742AD6">
        <w:rPr>
          <w:b/>
          <w:sz w:val="24"/>
          <w:szCs w:val="24"/>
        </w:rPr>
        <w:t xml:space="preserve">. </w:t>
      </w:r>
      <w:r w:rsidRPr="00742AD6">
        <w:rPr>
          <w:sz w:val="24"/>
          <w:szCs w:val="24"/>
        </w:rPr>
        <w:t>Надання на вимогу Замовника інформації про використання робочого часу працівниками Об’єкту.</w:t>
      </w:r>
    </w:p>
    <w:p w:rsidR="00891DD7" w:rsidRPr="00742AD6" w:rsidRDefault="00891DD7" w:rsidP="00891DD7">
      <w:pPr>
        <w:tabs>
          <w:tab w:val="left" w:pos="1276"/>
        </w:tabs>
        <w:spacing w:line="0" w:lineRule="atLeast"/>
        <w:jc w:val="center"/>
        <w:rPr>
          <w:b/>
          <w:sz w:val="24"/>
          <w:szCs w:val="24"/>
        </w:rPr>
      </w:pPr>
      <w:r w:rsidRPr="00742AD6">
        <w:rPr>
          <w:b/>
          <w:sz w:val="24"/>
          <w:szCs w:val="24"/>
        </w:rPr>
        <w:t>5. Вимоги до охоронців</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5.1. Вік до 50 років, представницький зовнішній вигляд.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5.2. Знання основ законодавчої бази і медичної підготовки, володіння основами самооборони і рукопашного бою.</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lastRenderedPageBreak/>
        <w:t xml:space="preserve">5.3. Уміння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5.4. Спостережливість, наполегливість, здатність до тривалого збереження високої активності. Добре розвинена довготривала пам'ять на зовнішність і поведінку людей, навколишнє оточення, наочно-образне і практичне мислення, здібність до відтворення зорового образу за словесним описом.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5.5. Низька навіюваність, здатність брати на себе відповідальність у складних ситуаціях, уміння прийняти правильне рішення при недостатній кількості необхідної інформації, за відсутності часу на її осмислення.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5.6. Емоційно-вольова стійкість.</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5.7. Наявність знань та навичок роботи з приладами охоронної та протипожежної сигналізації, засобами для гасіння пожежі.</w:t>
      </w:r>
    </w:p>
    <w:p w:rsidR="00891DD7" w:rsidRPr="00742AD6" w:rsidRDefault="00891DD7" w:rsidP="00891DD7">
      <w:p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6. Обов’язки чергового охоронця</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6.1. Постійно перебувати на посту охорони.</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6.2. Перебувати на Об’єкті охайно вдягнутим, у формений одяг та мати при собі всі необхідні засоби активної оборони для охорони майна та Об’єкту Замовника.</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6.3. Утримувати формений одяг, засоби захисту та спеціальне обладнання в охайному та справному стані.</w:t>
      </w:r>
    </w:p>
    <w:p w:rsidR="00891DD7" w:rsidRPr="00742AD6" w:rsidRDefault="00891DD7" w:rsidP="00891DD7">
      <w:pPr>
        <w:tabs>
          <w:tab w:val="left" w:pos="1276"/>
        </w:tabs>
        <w:ind w:firstLine="567"/>
        <w:jc w:val="both"/>
        <w:rPr>
          <w:sz w:val="24"/>
          <w:szCs w:val="24"/>
        </w:rPr>
      </w:pPr>
      <w:r w:rsidRPr="00742AD6">
        <w:rPr>
          <w:sz w:val="24"/>
          <w:szCs w:val="24"/>
        </w:rPr>
        <w:t xml:space="preserve">6.4. Прийняти за описом документацію, обладнання, інвентар та ключі при прийнятті Об’єкта для здійснення охоронної діяльності.  </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6.5. Перевіряти за дорожнім листком, накладною або іншим документом винесення (внесення) чи вивезення (ввезення) будь-якого майна, що саме і в якій кількості (кількість місць) дозволено винести (занести) чи вивезти (ввезти).</w:t>
      </w:r>
    </w:p>
    <w:p w:rsidR="00891DD7" w:rsidRPr="00742AD6" w:rsidRDefault="00891DD7" w:rsidP="00891DD7">
      <w:pPr>
        <w:tabs>
          <w:tab w:val="left" w:pos="1276"/>
        </w:tabs>
        <w:ind w:firstLine="567"/>
        <w:jc w:val="both"/>
        <w:rPr>
          <w:sz w:val="24"/>
          <w:szCs w:val="24"/>
        </w:rPr>
      </w:pPr>
      <w:r w:rsidRPr="00742AD6">
        <w:rPr>
          <w:sz w:val="24"/>
          <w:szCs w:val="24"/>
        </w:rPr>
        <w:t>6.6. Не дозволяти виносити (вносити) чи вивозити (ввозити) будь-яке майно з території (на територію) Замовника без погодження керуючого справами Виконавчого комітету Одеської міської ради.</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6.7. Пропускати працівників Замовника, за посадовими посвідченнями;</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6.8. Перевіряти документи сторонніх осіб, які посвідчують особу, що прибула до Замовника.</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6.9. Не допускати на Об’єкти осіб, які знаходяться під впливом алкоголю чи наркотичних засобів та не допускати занос предметів, що можуть бути використані як зброя.</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6.10. У разі виникнення пожежі організувати пропуск пожежних машин, направити їх до місця пожежі та повідомити про найближчі джерела пожежного водопостачання.</w:t>
      </w:r>
    </w:p>
    <w:p w:rsidR="00891DD7" w:rsidRPr="00742AD6" w:rsidRDefault="00891DD7" w:rsidP="00891DD7">
      <w:pPr>
        <w:tabs>
          <w:tab w:val="left" w:pos="1276"/>
        </w:tabs>
        <w:spacing w:line="0" w:lineRule="atLeast"/>
        <w:contextualSpacing/>
        <w:jc w:val="center"/>
        <w:rPr>
          <w:rFonts w:eastAsia="SimSun"/>
          <w:b/>
          <w:bCs/>
          <w:sz w:val="24"/>
          <w:szCs w:val="24"/>
          <w:lang w:eastAsia="en-US"/>
        </w:rPr>
      </w:pPr>
      <w:r w:rsidRPr="00742AD6">
        <w:rPr>
          <w:rFonts w:eastAsia="SimSun"/>
          <w:b/>
          <w:bCs/>
          <w:sz w:val="24"/>
          <w:szCs w:val="24"/>
          <w:lang w:eastAsia="en-US"/>
        </w:rPr>
        <w:t>7. Наявність обладнання та матеріально-технічної бази</w:t>
      </w:r>
    </w:p>
    <w:p w:rsidR="00891DD7" w:rsidRPr="00742AD6" w:rsidRDefault="00891DD7" w:rsidP="00891DD7">
      <w:pPr>
        <w:widowControl w:val="0"/>
        <w:autoSpaceDE w:val="0"/>
        <w:autoSpaceDN w:val="0"/>
        <w:adjustRightInd w:val="0"/>
        <w:ind w:firstLine="567"/>
        <w:jc w:val="both"/>
        <w:rPr>
          <w:rFonts w:eastAsia="Calibri"/>
          <w:bCs/>
          <w:sz w:val="24"/>
          <w:szCs w:val="24"/>
        </w:rPr>
      </w:pPr>
      <w:r w:rsidRPr="00742AD6">
        <w:rPr>
          <w:rFonts w:eastAsia="Calibri"/>
          <w:bCs/>
          <w:sz w:val="24"/>
          <w:szCs w:val="24"/>
        </w:rPr>
        <w:t>Необхідно надати інформацію щодо наявності обладнання та матеріально-технічної бази  для надання послуг, а саме:</w:t>
      </w:r>
    </w:p>
    <w:p w:rsidR="00891DD7" w:rsidRPr="00742AD6" w:rsidRDefault="00891DD7" w:rsidP="00891DD7">
      <w:pPr>
        <w:widowControl w:val="0"/>
        <w:numPr>
          <w:ilvl w:val="0"/>
          <w:numId w:val="3"/>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 xml:space="preserve">засоби </w:t>
      </w:r>
      <w:proofErr w:type="spellStart"/>
      <w:r w:rsidRPr="00742AD6">
        <w:rPr>
          <w:rFonts w:eastAsia="Calibri"/>
          <w:sz w:val="24"/>
          <w:szCs w:val="24"/>
          <w:lang w:eastAsia="en-US"/>
        </w:rPr>
        <w:t>бронезахисту</w:t>
      </w:r>
      <w:proofErr w:type="spellEnd"/>
      <w:r w:rsidRPr="00742AD6">
        <w:rPr>
          <w:rFonts w:eastAsia="Calibri"/>
          <w:sz w:val="24"/>
          <w:szCs w:val="24"/>
          <w:lang w:eastAsia="en-US"/>
        </w:rPr>
        <w:t xml:space="preserve"> не нижче 4 класу; </w:t>
      </w:r>
    </w:p>
    <w:p w:rsidR="00891DD7" w:rsidRPr="00742AD6" w:rsidRDefault="00891DD7" w:rsidP="00891DD7">
      <w:pPr>
        <w:widowControl w:val="0"/>
        <w:numPr>
          <w:ilvl w:val="0"/>
          <w:numId w:val="3"/>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 xml:space="preserve">балон із </w:t>
      </w:r>
      <w:proofErr w:type="spellStart"/>
      <w:r w:rsidRPr="00742AD6">
        <w:rPr>
          <w:rFonts w:eastAsia="Calibri"/>
          <w:sz w:val="24"/>
          <w:szCs w:val="24"/>
          <w:lang w:eastAsia="en-US"/>
        </w:rPr>
        <w:t>сльозогінним</w:t>
      </w:r>
      <w:proofErr w:type="spellEnd"/>
      <w:r w:rsidRPr="00742AD6">
        <w:rPr>
          <w:rFonts w:eastAsia="Calibri"/>
          <w:sz w:val="24"/>
          <w:szCs w:val="24"/>
          <w:lang w:eastAsia="en-US"/>
        </w:rPr>
        <w:t xml:space="preserve"> газом подразнювальної дії типу «Кобра 1», </w:t>
      </w:r>
    </w:p>
    <w:p w:rsidR="00891DD7" w:rsidRPr="00742AD6" w:rsidRDefault="00891DD7" w:rsidP="00891DD7">
      <w:pPr>
        <w:widowControl w:val="0"/>
        <w:numPr>
          <w:ilvl w:val="0"/>
          <w:numId w:val="3"/>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 xml:space="preserve">гумовий кийок, </w:t>
      </w:r>
    </w:p>
    <w:p w:rsidR="00891DD7" w:rsidRPr="00742AD6" w:rsidRDefault="00891DD7" w:rsidP="00891DD7">
      <w:pPr>
        <w:widowControl w:val="0"/>
        <w:numPr>
          <w:ilvl w:val="0"/>
          <w:numId w:val="3"/>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металеві наручники;</w:t>
      </w:r>
    </w:p>
    <w:p w:rsidR="00891DD7" w:rsidRPr="00742AD6" w:rsidRDefault="00891DD7" w:rsidP="00891DD7">
      <w:pPr>
        <w:widowControl w:val="0"/>
        <w:numPr>
          <w:ilvl w:val="0"/>
          <w:numId w:val="3"/>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Засоби зв’язку  - УКХ діапазону загального користування портативного типу;</w:t>
      </w:r>
    </w:p>
    <w:p w:rsidR="00891DD7" w:rsidRPr="00742AD6" w:rsidRDefault="00891DD7" w:rsidP="00891DD7">
      <w:pPr>
        <w:widowControl w:val="0"/>
        <w:numPr>
          <w:ilvl w:val="0"/>
          <w:numId w:val="3"/>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Автомобілі не менше 5-ти одиниць для чергової групи швидкого реагування;</w:t>
      </w:r>
    </w:p>
    <w:p w:rsidR="00891DD7" w:rsidRPr="00742AD6" w:rsidRDefault="00891DD7" w:rsidP="00891DD7">
      <w:pPr>
        <w:widowControl w:val="0"/>
        <w:numPr>
          <w:ilvl w:val="0"/>
          <w:numId w:val="3"/>
        </w:numPr>
        <w:autoSpaceDE w:val="0"/>
        <w:autoSpaceDN w:val="0"/>
        <w:adjustRightInd w:val="0"/>
        <w:contextualSpacing/>
        <w:jc w:val="both"/>
        <w:rPr>
          <w:rFonts w:eastAsia="Calibri"/>
          <w:sz w:val="24"/>
          <w:szCs w:val="24"/>
          <w:lang w:eastAsia="en-US"/>
        </w:rPr>
      </w:pPr>
      <w:proofErr w:type="spellStart"/>
      <w:r w:rsidRPr="00742AD6">
        <w:rPr>
          <w:rFonts w:eastAsia="Calibri"/>
          <w:sz w:val="24"/>
          <w:szCs w:val="24"/>
          <w:lang w:eastAsia="en-US"/>
        </w:rPr>
        <w:t>Форменний</w:t>
      </w:r>
      <w:proofErr w:type="spellEnd"/>
      <w:r w:rsidRPr="00742AD6">
        <w:rPr>
          <w:rFonts w:eastAsia="Calibri"/>
          <w:sz w:val="24"/>
          <w:szCs w:val="24"/>
          <w:lang w:eastAsia="en-US"/>
        </w:rPr>
        <w:t xml:space="preserve"> повсякденний одяг (посезонно).</w:t>
      </w:r>
    </w:p>
    <w:p w:rsidR="00891DD7" w:rsidRPr="00742AD6" w:rsidRDefault="00891DD7" w:rsidP="00891DD7">
      <w:p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8. Інші вимоги</w:t>
      </w:r>
    </w:p>
    <w:p w:rsidR="00891DD7" w:rsidRPr="00742AD6" w:rsidRDefault="00891DD7" w:rsidP="00891DD7">
      <w:pPr>
        <w:spacing w:line="0" w:lineRule="atLeast"/>
        <w:ind w:firstLine="567"/>
        <w:jc w:val="both"/>
        <w:rPr>
          <w:sz w:val="24"/>
          <w:szCs w:val="24"/>
        </w:rPr>
      </w:pPr>
      <w:r w:rsidRPr="00742AD6">
        <w:rPr>
          <w:sz w:val="24"/>
          <w:szCs w:val="24"/>
        </w:rPr>
        <w:t>8.1. У разі надходження сигналу про спрацювання тривожної сигналізації розташованої в адміністративній будівлі Виконавчого комітету Одеської міської ради за адресою: м. Одеса, Думська площа, 1 необхідно здійснювати наступні дії:</w:t>
      </w:r>
    </w:p>
    <w:p w:rsidR="00891DD7" w:rsidRPr="00742AD6" w:rsidRDefault="00891DD7" w:rsidP="00891DD7">
      <w:pPr>
        <w:spacing w:line="0" w:lineRule="atLeast"/>
        <w:ind w:firstLine="567"/>
        <w:jc w:val="both"/>
        <w:rPr>
          <w:sz w:val="24"/>
          <w:szCs w:val="24"/>
        </w:rPr>
      </w:pPr>
      <w:r w:rsidRPr="00742AD6">
        <w:rPr>
          <w:sz w:val="24"/>
          <w:szCs w:val="24"/>
        </w:rPr>
        <w:t xml:space="preserve">- негайно направити до адміністративної будівлі за адресою: м. Одеса, Думська площа, 1 групу затримання для вжиття заходів, спрямованих на встановлення причин спрацювання сигналізації, а при необхідності – блокування осіб, які протиправно </w:t>
      </w:r>
      <w:r w:rsidRPr="00742AD6">
        <w:rPr>
          <w:sz w:val="24"/>
          <w:szCs w:val="24"/>
        </w:rPr>
        <w:lastRenderedPageBreak/>
        <w:t>порушили встановлений режим охорони для наступної їх передачі правоохоронним органам;</w:t>
      </w:r>
    </w:p>
    <w:p w:rsidR="00891DD7" w:rsidRPr="00742AD6" w:rsidRDefault="00891DD7" w:rsidP="00891DD7">
      <w:pPr>
        <w:spacing w:line="0" w:lineRule="atLeast"/>
        <w:ind w:firstLine="567"/>
        <w:jc w:val="both"/>
        <w:rPr>
          <w:sz w:val="24"/>
          <w:szCs w:val="24"/>
        </w:rPr>
      </w:pPr>
      <w:r w:rsidRPr="00742AD6">
        <w:rPr>
          <w:sz w:val="24"/>
          <w:szCs w:val="24"/>
        </w:rPr>
        <w:t>- сповістити уповноважену особу  про спрацювання сигналізації в адміністративній будівлі;</w:t>
      </w:r>
    </w:p>
    <w:p w:rsidR="00891DD7" w:rsidRPr="00742AD6" w:rsidRDefault="00891DD7" w:rsidP="00891DD7">
      <w:pPr>
        <w:spacing w:line="0" w:lineRule="atLeast"/>
        <w:ind w:firstLine="567"/>
        <w:jc w:val="both"/>
        <w:rPr>
          <w:sz w:val="24"/>
          <w:szCs w:val="24"/>
        </w:rPr>
      </w:pPr>
      <w:r w:rsidRPr="00742AD6">
        <w:rPr>
          <w:sz w:val="24"/>
          <w:szCs w:val="24"/>
        </w:rPr>
        <w:t>- забезпечити охорону товарно-матеріальних цінностей, документів до прибуття працівників територіального органу внутрішніх справ та уповноваженої особи;</w:t>
      </w:r>
    </w:p>
    <w:p w:rsidR="00891DD7" w:rsidRPr="00742AD6" w:rsidRDefault="00891DD7" w:rsidP="00891DD7">
      <w:pPr>
        <w:spacing w:line="0" w:lineRule="atLeast"/>
        <w:ind w:firstLine="567"/>
        <w:jc w:val="both"/>
        <w:rPr>
          <w:sz w:val="24"/>
          <w:szCs w:val="24"/>
        </w:rPr>
      </w:pPr>
      <w:r w:rsidRPr="00742AD6">
        <w:rPr>
          <w:sz w:val="24"/>
          <w:szCs w:val="24"/>
        </w:rPr>
        <w:t>- у разі виявлення ознак пожежі на об’єкті сповістити про це підрозділ пожежної охорони.</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8.2. Суб’єкт охоронної діяльності повинен мати можливість за заявкою Замовника послуг в термін не більше трьох діб припинити надання послуг Замовнику.</w:t>
      </w:r>
    </w:p>
    <w:p w:rsidR="00891DD7" w:rsidRPr="00742AD6" w:rsidRDefault="00891DD7" w:rsidP="00891DD7">
      <w:pPr>
        <w:tabs>
          <w:tab w:val="left" w:pos="1276"/>
        </w:tabs>
        <w:spacing w:line="0" w:lineRule="atLeast"/>
        <w:ind w:firstLine="567"/>
        <w:jc w:val="both"/>
        <w:rPr>
          <w:sz w:val="24"/>
          <w:szCs w:val="24"/>
        </w:rPr>
      </w:pPr>
      <w:r w:rsidRPr="00742AD6">
        <w:rPr>
          <w:sz w:val="24"/>
          <w:szCs w:val="24"/>
        </w:rPr>
        <w:t xml:space="preserve">8.3. У випадку нештатної ситуації (скупчення людей біля будівлі, загроза штурму, незаконного проникнення до приміщення чи будь-якої іншої загрози) старший посту охорони чи інша особа повідомляє чергову частину засобами зв’язку, із зазначенням ступеня загрози та необхідності виділення додаткового особового складу (чергової групи швидкого реагування з штатною екіпіровкою спеціальними засобами та вогнепальною або травматичною зброєю (не </w:t>
      </w:r>
      <w:proofErr w:type="spellStart"/>
      <w:r w:rsidRPr="00742AD6">
        <w:rPr>
          <w:sz w:val="24"/>
          <w:szCs w:val="24"/>
        </w:rPr>
        <w:t>меньше</w:t>
      </w:r>
      <w:proofErr w:type="spellEnd"/>
      <w:r w:rsidRPr="00742AD6">
        <w:rPr>
          <w:sz w:val="24"/>
          <w:szCs w:val="24"/>
        </w:rPr>
        <w:t xml:space="preserve"> 20 чоловік), це кількість осіб необхідна для належного виконання забезпечення безпеки на об’єкті, що охороняється. Час прибуття - до 30 хвилин з моменту прийняття повідомлення. Для забезпечення даних вимог Охоронець повинен мати мобільні групи здатні забезпечити виконання поставлених завдань.</w:t>
      </w:r>
    </w:p>
    <w:p w:rsidR="000448FD" w:rsidRPr="00824F96" w:rsidRDefault="00891DD7" w:rsidP="00824F96">
      <w:bookmarkStart w:id="0" w:name="_GoBack"/>
      <w:bookmarkEnd w:id="0"/>
    </w:p>
    <w:sectPr w:rsidR="000448FD" w:rsidRPr="0082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F2"/>
    <w:rsid w:val="000C4317"/>
    <w:rsid w:val="00824F96"/>
    <w:rsid w:val="00891DD7"/>
    <w:rsid w:val="008A50F2"/>
    <w:rsid w:val="00D95971"/>
    <w:rsid w:val="00EE0198"/>
    <w:rsid w:val="00F6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1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C4317"/>
    <w:rPr>
      <w:rFonts w:ascii="Times New Roman" w:eastAsia="Times New Roman" w:hAnsi="Times New Roman"/>
      <w:b/>
      <w:bCs/>
      <w:shd w:val="clear" w:color="auto" w:fill="FFFFFF"/>
    </w:rPr>
  </w:style>
  <w:style w:type="paragraph" w:customStyle="1" w:styleId="20">
    <w:name w:val="Заголовок №2"/>
    <w:basedOn w:val="a"/>
    <w:link w:val="2"/>
    <w:rsid w:val="000C4317"/>
    <w:pPr>
      <w:widowControl w:val="0"/>
      <w:shd w:val="clear" w:color="auto" w:fill="FFFFFF"/>
      <w:spacing w:before="300" w:after="300" w:line="0" w:lineRule="atLeast"/>
      <w:jc w:val="center"/>
      <w:outlineLvl w:val="1"/>
    </w:pPr>
    <w:rPr>
      <w:rFonts w:cstheme="minorBidi"/>
      <w:b/>
      <w:bCs/>
      <w:sz w:val="22"/>
      <w:szCs w:val="22"/>
      <w:lang w:val="ru-RU" w:eastAsia="en-US"/>
    </w:rPr>
  </w:style>
  <w:style w:type="table" w:customStyle="1" w:styleId="200">
    <w:name w:val="Сетка таблицы20"/>
    <w:basedOn w:val="a1"/>
    <w:next w:val="a3"/>
    <w:uiPriority w:val="59"/>
    <w:qFormat/>
    <w:rsid w:val="000C4317"/>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C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1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C4317"/>
    <w:rPr>
      <w:rFonts w:ascii="Times New Roman" w:eastAsia="Times New Roman" w:hAnsi="Times New Roman"/>
      <w:b/>
      <w:bCs/>
      <w:shd w:val="clear" w:color="auto" w:fill="FFFFFF"/>
    </w:rPr>
  </w:style>
  <w:style w:type="paragraph" w:customStyle="1" w:styleId="20">
    <w:name w:val="Заголовок №2"/>
    <w:basedOn w:val="a"/>
    <w:link w:val="2"/>
    <w:rsid w:val="000C4317"/>
    <w:pPr>
      <w:widowControl w:val="0"/>
      <w:shd w:val="clear" w:color="auto" w:fill="FFFFFF"/>
      <w:spacing w:before="300" w:after="300" w:line="0" w:lineRule="atLeast"/>
      <w:jc w:val="center"/>
      <w:outlineLvl w:val="1"/>
    </w:pPr>
    <w:rPr>
      <w:rFonts w:cstheme="minorBidi"/>
      <w:b/>
      <w:bCs/>
      <w:sz w:val="22"/>
      <w:szCs w:val="22"/>
      <w:lang w:val="ru-RU" w:eastAsia="en-US"/>
    </w:rPr>
  </w:style>
  <w:style w:type="table" w:customStyle="1" w:styleId="200">
    <w:name w:val="Сетка таблицы20"/>
    <w:basedOn w:val="a1"/>
    <w:next w:val="a3"/>
    <w:uiPriority w:val="59"/>
    <w:qFormat/>
    <w:rsid w:val="000C4317"/>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C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8623</Words>
  <Characters>4916</Characters>
  <Application>Microsoft Office Word</Application>
  <DocSecurity>0</DocSecurity>
  <Lines>40</Lines>
  <Paragraphs>27</Paragraphs>
  <ScaleCrop>false</ScaleCrop>
  <Company>Hewlett-Packard Company</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Buh5</cp:lastModifiedBy>
  <cp:revision>5</cp:revision>
  <dcterms:created xsi:type="dcterms:W3CDTF">2023-12-07T07:00:00Z</dcterms:created>
  <dcterms:modified xsi:type="dcterms:W3CDTF">2023-12-07T13:57:00Z</dcterms:modified>
</cp:coreProperties>
</file>