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5BD59DB8" w:rsidR="00663498" w:rsidRPr="00DC3CDD" w:rsidRDefault="00DC3CDD" w:rsidP="009312E5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9312E5" w:rsidRPr="009312E5">
        <w:rPr>
          <w:b/>
          <w:color w:val="000000"/>
          <w:sz w:val="28"/>
          <w:szCs w:val="28"/>
          <w:lang w:val="uk-UA"/>
        </w:rPr>
        <w:t xml:space="preserve">Комплект одягу та покриттів операційних для </w:t>
      </w:r>
      <w:proofErr w:type="spellStart"/>
      <w:r w:rsidR="009312E5" w:rsidRPr="009312E5">
        <w:rPr>
          <w:b/>
          <w:color w:val="000000"/>
          <w:sz w:val="28"/>
          <w:szCs w:val="28"/>
          <w:lang w:val="uk-UA"/>
        </w:rPr>
        <w:t>лапароскопії</w:t>
      </w:r>
      <w:proofErr w:type="spellEnd"/>
      <w:r w:rsidR="009312E5" w:rsidRPr="009312E5">
        <w:rPr>
          <w:b/>
          <w:color w:val="000000"/>
          <w:sz w:val="28"/>
          <w:szCs w:val="28"/>
          <w:lang w:val="uk-UA"/>
        </w:rPr>
        <w:t xml:space="preserve"> №7 </w:t>
      </w:r>
      <w:r w:rsidR="009312E5" w:rsidRPr="009312E5">
        <w:rPr>
          <w:b/>
          <w:color w:val="000000"/>
          <w:sz w:val="28"/>
          <w:szCs w:val="28"/>
          <w:lang w:val="uk-UA"/>
        </w:rPr>
        <w:t>ст</w:t>
      </w:r>
      <w:r w:rsidR="009312E5">
        <w:rPr>
          <w:b/>
          <w:color w:val="000000"/>
          <w:sz w:val="28"/>
          <w:szCs w:val="28"/>
          <w:lang w:val="uk-UA"/>
        </w:rPr>
        <w:t>ерильний</w:t>
      </w:r>
      <w:r w:rsidR="009312E5" w:rsidRPr="009312E5">
        <w:rPr>
          <w:b/>
          <w:color w:val="000000"/>
          <w:sz w:val="28"/>
          <w:szCs w:val="28"/>
          <w:lang w:val="uk-UA"/>
        </w:rPr>
        <w:t>,</w:t>
      </w:r>
      <w:r w:rsidR="009312E5">
        <w:rPr>
          <w:b/>
          <w:color w:val="000000"/>
          <w:sz w:val="28"/>
          <w:szCs w:val="28"/>
          <w:lang w:val="uk-UA"/>
        </w:rPr>
        <w:t xml:space="preserve"> </w:t>
      </w:r>
      <w:r w:rsidR="009312E5" w:rsidRPr="009312E5">
        <w:rPr>
          <w:b/>
          <w:color w:val="000000"/>
          <w:sz w:val="28"/>
          <w:szCs w:val="28"/>
          <w:lang w:val="uk-UA"/>
        </w:rPr>
        <w:t>Комплект покриттів операційних хірургічний №3 стерильний</w:t>
      </w:r>
      <w:r w:rsidR="009312E5">
        <w:rPr>
          <w:b/>
          <w:color w:val="000000"/>
          <w:sz w:val="28"/>
          <w:szCs w:val="28"/>
          <w:lang w:val="uk-UA"/>
        </w:rPr>
        <w:t xml:space="preserve">, </w:t>
      </w:r>
      <w:r w:rsidR="009312E5" w:rsidRPr="009312E5">
        <w:rPr>
          <w:b/>
          <w:color w:val="000000"/>
          <w:sz w:val="28"/>
          <w:szCs w:val="28"/>
          <w:lang w:val="uk-UA"/>
        </w:rPr>
        <w:t>Комплект одягу та покриттів операційних хірургічний №4 ст</w:t>
      </w:r>
      <w:r w:rsidR="009312E5">
        <w:rPr>
          <w:b/>
          <w:color w:val="000000"/>
          <w:sz w:val="28"/>
          <w:szCs w:val="28"/>
          <w:lang w:val="uk-UA"/>
        </w:rPr>
        <w:t>ерильний</w:t>
      </w:r>
      <w:r>
        <w:rPr>
          <w:b/>
          <w:color w:val="000000"/>
          <w:sz w:val="28"/>
          <w:szCs w:val="28"/>
          <w:lang w:val="uk-UA"/>
        </w:rPr>
        <w:t>»</w:t>
      </w:r>
      <w:r w:rsidR="00FD341E" w:rsidRPr="00FD34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 w:rsidRPr="00DC3CDD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27091B6E" w14:textId="77777777" w:rsidR="009312E5" w:rsidRDefault="00B314DD" w:rsidP="00176A89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</w:p>
    <w:p w14:paraId="2B7E8C09" w14:textId="3382411F" w:rsidR="002E5713" w:rsidRPr="00176A89" w:rsidRDefault="0090252A" w:rsidP="00176A89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DC3CDD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DC3CDD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 xml:space="preserve">К-сть </w:t>
            </w:r>
          </w:p>
        </w:tc>
      </w:tr>
      <w:tr w:rsidR="009312E5" w:rsidRPr="00DC3CDD" w14:paraId="1963F4E8" w14:textId="77777777" w:rsidTr="009312E5">
        <w:tc>
          <w:tcPr>
            <w:tcW w:w="562" w:type="dxa"/>
            <w:vAlign w:val="center"/>
          </w:tcPr>
          <w:p w14:paraId="63E52525" w14:textId="77777777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DC3CD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25DFDC4F" w:rsidR="009312E5" w:rsidRPr="00DC3CDD" w:rsidRDefault="009312E5" w:rsidP="00931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Комплект одягу та покриттів операційних для </w:t>
            </w:r>
            <w:proofErr w:type="spellStart"/>
            <w:r>
              <w:rPr>
                <w:b/>
                <w:bCs/>
                <w:color w:val="000000"/>
              </w:rPr>
              <w:t>лапароскопії</w:t>
            </w:r>
            <w:proofErr w:type="spellEnd"/>
            <w:r>
              <w:rPr>
                <w:b/>
                <w:bCs/>
                <w:color w:val="000000"/>
              </w:rPr>
              <w:t xml:space="preserve"> №7  стерильний     </w:t>
            </w: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41" w:type="dxa"/>
            <w:vAlign w:val="center"/>
          </w:tcPr>
          <w:p w14:paraId="4ED04022" w14:textId="18139366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До складу набору входить:</w:t>
            </w:r>
            <w:r>
              <w:rPr>
                <w:color w:val="000000"/>
              </w:rPr>
              <w:br/>
              <w:t xml:space="preserve">халат медичний (хірургічний) на зав’язках довжиною 130 см (розмір 50-52 (L))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35г/м2)</w:t>
            </w:r>
            <w:r>
              <w:rPr>
                <w:color w:val="000000"/>
              </w:rPr>
              <w:br/>
              <w:t xml:space="preserve">покриття операційне 300 × 160 см – на дугу, з </w:t>
            </w:r>
            <w:proofErr w:type="spellStart"/>
            <w:r>
              <w:rPr>
                <w:color w:val="000000"/>
              </w:rPr>
              <w:t>адгезивним</w:t>
            </w:r>
            <w:proofErr w:type="spellEnd"/>
            <w:r>
              <w:rPr>
                <w:color w:val="000000"/>
              </w:rPr>
              <w:t xml:space="preserve"> операційним полем 30 × 25 см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35г/м2)</w:t>
            </w:r>
            <w:r>
              <w:rPr>
                <w:color w:val="000000"/>
              </w:rPr>
              <w:br/>
              <w:t xml:space="preserve">покриття операційне 200 × 160 см для операційного столу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35г/м2)</w:t>
            </w:r>
            <w:r>
              <w:rPr>
                <w:color w:val="000000"/>
              </w:rPr>
              <w:br/>
              <w:t xml:space="preserve">покриття операційне 140 × 80 см для інструментального столу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(ламінований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45г/м2)</w:t>
            </w:r>
            <w:r>
              <w:rPr>
                <w:color w:val="000000"/>
              </w:rPr>
              <w:br/>
              <w:t xml:space="preserve">покриття операційне 35 × 20 см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спанлейс</w:t>
            </w:r>
            <w:proofErr w:type="spellEnd"/>
            <w:r>
              <w:rPr>
                <w:color w:val="000000"/>
              </w:rPr>
              <w:t xml:space="preserve"> 50г/м2)</w:t>
            </w:r>
            <w:r>
              <w:rPr>
                <w:color w:val="000000"/>
              </w:rPr>
              <w:br/>
              <w:t xml:space="preserve">чохол 150 × 80 см для інструментального столу «Мейо»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+ ламінований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чохол для шнура 250 × 15 см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 (СМС 35г/м2)</w:t>
            </w:r>
            <w:r>
              <w:rPr>
                <w:color w:val="000000"/>
              </w:rPr>
              <w:br/>
              <w:t xml:space="preserve">кишеня бічна 40 × 30 см з липкою фіксацією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(поліетилен 55г/м2)</w:t>
            </w:r>
            <w:r>
              <w:rPr>
                <w:color w:val="000000"/>
              </w:rPr>
              <w:br/>
              <w:t xml:space="preserve">тримач шнура </w:t>
            </w:r>
            <w:proofErr w:type="spellStart"/>
            <w:r>
              <w:rPr>
                <w:color w:val="000000"/>
              </w:rPr>
              <w:t>адгезивний</w:t>
            </w:r>
            <w:proofErr w:type="spellEnd"/>
            <w:r>
              <w:rPr>
                <w:color w:val="000000"/>
              </w:rPr>
              <w:t xml:space="preserve"> 20 × 3 см (на липучці) (1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стрічка </w:t>
            </w:r>
            <w:proofErr w:type="spellStart"/>
            <w:r>
              <w:rPr>
                <w:color w:val="000000"/>
              </w:rPr>
              <w:t>адгезивна</w:t>
            </w:r>
            <w:proofErr w:type="spellEnd"/>
            <w:r>
              <w:rPr>
                <w:color w:val="000000"/>
              </w:rPr>
              <w:t xml:space="preserve"> 50 × 5 см (1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Використані матеріали:</w:t>
            </w:r>
            <w:r>
              <w:rPr>
                <w:color w:val="000000"/>
              </w:rPr>
              <w:br/>
              <w:t xml:space="preserve">СМС 35г/м2; ламінований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45г/м2; </w:t>
            </w:r>
            <w:proofErr w:type="spellStart"/>
            <w:r>
              <w:rPr>
                <w:color w:val="000000"/>
              </w:rPr>
              <w:t>спанлейс</w:t>
            </w:r>
            <w:proofErr w:type="spellEnd"/>
            <w:r>
              <w:rPr>
                <w:color w:val="000000"/>
              </w:rPr>
              <w:t xml:space="preserve"> 50г/м2; СМС + ламінований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35+45г/м2; поліетилен 55г/м2</w:t>
            </w:r>
          </w:p>
        </w:tc>
        <w:tc>
          <w:tcPr>
            <w:tcW w:w="1134" w:type="dxa"/>
            <w:vAlign w:val="center"/>
          </w:tcPr>
          <w:p w14:paraId="26394500" w14:textId="2CB00FA5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 w:rsidRPr="00DC3CDD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440C6F89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 w:rsidRPr="003B2B7E">
              <w:t>60</w:t>
            </w:r>
          </w:p>
        </w:tc>
      </w:tr>
      <w:tr w:rsidR="009312E5" w:rsidRPr="00DC3CDD" w14:paraId="2070F78E" w14:textId="77777777" w:rsidTr="009312E5">
        <w:tc>
          <w:tcPr>
            <w:tcW w:w="562" w:type="dxa"/>
            <w:vAlign w:val="center"/>
          </w:tcPr>
          <w:p w14:paraId="08DB993A" w14:textId="2F27556E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B91E936" w14:textId="432547AD" w:rsidR="009312E5" w:rsidRPr="00DC3CDD" w:rsidRDefault="009312E5" w:rsidP="00931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Комплект покриттів операційних хірургічний №3 стерильний </w:t>
            </w:r>
            <w:r>
              <w:rPr>
                <w:color w:val="00000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641" w:type="dxa"/>
            <w:vAlign w:val="center"/>
          </w:tcPr>
          <w:p w14:paraId="57AC9DB9" w14:textId="083B86E7" w:rsidR="009312E5" w:rsidRPr="00DC3CDD" w:rsidRDefault="009312E5" w:rsidP="0093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До складу набору входить:</w:t>
            </w:r>
            <w:r>
              <w:rPr>
                <w:color w:val="000000"/>
              </w:rPr>
              <w:br/>
              <w:t xml:space="preserve">покриття операційне 240 × 160 см-на дугу, з </w:t>
            </w:r>
            <w:proofErr w:type="spellStart"/>
            <w:r>
              <w:rPr>
                <w:color w:val="000000"/>
              </w:rPr>
              <w:t>адгезивним</w:t>
            </w:r>
            <w:proofErr w:type="spellEnd"/>
            <w:r>
              <w:rPr>
                <w:color w:val="000000"/>
              </w:rPr>
              <w:t xml:space="preserve"> краєм та поглинаючою зоною (по довгій стороні)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(СМС-35г/м2);</w:t>
            </w:r>
            <w:r>
              <w:rPr>
                <w:color w:val="000000"/>
              </w:rPr>
              <w:br/>
              <w:t xml:space="preserve">покриття операційне 200 × 160 см з </w:t>
            </w:r>
            <w:proofErr w:type="spellStart"/>
            <w:r>
              <w:rPr>
                <w:color w:val="000000"/>
              </w:rPr>
              <w:t>адгезивним</w:t>
            </w:r>
            <w:proofErr w:type="spellEnd"/>
            <w:r>
              <w:rPr>
                <w:color w:val="000000"/>
              </w:rPr>
              <w:t xml:space="preserve"> краєм та поглинаючою зоною (по короткій стороні)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(СМС-35г/м2);</w:t>
            </w:r>
            <w:r>
              <w:rPr>
                <w:color w:val="000000"/>
              </w:rPr>
              <w:br/>
              <w:t xml:space="preserve">покриття операційне 200 × 160 см для операційного столу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(СМС-35г/м2);</w:t>
            </w:r>
            <w:r>
              <w:rPr>
                <w:color w:val="000000"/>
              </w:rPr>
              <w:br/>
              <w:t xml:space="preserve">покриття операційне 140 × 80 см для інструментального столу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(Ламінований спанбонд-45г/м2);</w:t>
            </w:r>
            <w:r>
              <w:rPr>
                <w:color w:val="000000"/>
              </w:rPr>
              <w:br/>
              <w:t xml:space="preserve">покриття операційне 100 × 80 см з </w:t>
            </w:r>
            <w:proofErr w:type="spellStart"/>
            <w:r>
              <w:rPr>
                <w:color w:val="000000"/>
              </w:rPr>
              <w:t>адгезивним</w:t>
            </w:r>
            <w:proofErr w:type="spellEnd"/>
            <w:r>
              <w:rPr>
                <w:color w:val="000000"/>
              </w:rPr>
              <w:t xml:space="preserve"> краєм та поглинаючою зоною (по довгій стороні) –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(СМС-35г/м2);</w:t>
            </w:r>
            <w:r>
              <w:rPr>
                <w:color w:val="000000"/>
              </w:rPr>
              <w:br/>
              <w:t xml:space="preserve">покриття операційне 35 × 20 см –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(Спанлейс-50г/м2);</w:t>
            </w:r>
            <w:r>
              <w:rPr>
                <w:color w:val="000000"/>
              </w:rPr>
              <w:br/>
              <w:t xml:space="preserve">стрічка </w:t>
            </w:r>
            <w:proofErr w:type="spellStart"/>
            <w:r>
              <w:rPr>
                <w:color w:val="000000"/>
              </w:rPr>
              <w:t>адгезивна</w:t>
            </w:r>
            <w:proofErr w:type="spellEnd"/>
            <w:r>
              <w:rPr>
                <w:color w:val="000000"/>
              </w:rPr>
              <w:t xml:space="preserve"> 50 × 5 см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br/>
              <w:t>Використані матеріали:</w:t>
            </w:r>
            <w:r>
              <w:rPr>
                <w:color w:val="000000"/>
              </w:rPr>
              <w:br/>
              <w:t xml:space="preserve">СМС 35г/м2; ламінований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45г/м2; </w:t>
            </w:r>
            <w:proofErr w:type="spellStart"/>
            <w:r>
              <w:rPr>
                <w:color w:val="000000"/>
              </w:rPr>
              <w:t>Спанлейс</w:t>
            </w:r>
            <w:proofErr w:type="spellEnd"/>
            <w:r>
              <w:rPr>
                <w:color w:val="000000"/>
              </w:rPr>
              <w:t xml:space="preserve"> 50г/м2</w:t>
            </w:r>
          </w:p>
        </w:tc>
        <w:tc>
          <w:tcPr>
            <w:tcW w:w="1134" w:type="dxa"/>
            <w:vAlign w:val="center"/>
          </w:tcPr>
          <w:p w14:paraId="142BABA2" w14:textId="13A3563D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A642F21" w14:textId="54BA34DD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 w:rsidRPr="003B2B7E">
              <w:t>100</w:t>
            </w:r>
          </w:p>
        </w:tc>
      </w:tr>
      <w:tr w:rsidR="009312E5" w:rsidRPr="00DC3CDD" w14:paraId="30AC91CC" w14:textId="77777777" w:rsidTr="009312E5">
        <w:tc>
          <w:tcPr>
            <w:tcW w:w="562" w:type="dxa"/>
            <w:vAlign w:val="center"/>
          </w:tcPr>
          <w:p w14:paraId="6DC51892" w14:textId="13052199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D4C80E4" w14:textId="159654ED" w:rsidR="009312E5" w:rsidRPr="00DC3CDD" w:rsidRDefault="009312E5" w:rsidP="00931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Комплект одягу та покриттів операційних хірургічний №4  стерильний       </w:t>
            </w: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641" w:type="dxa"/>
            <w:vAlign w:val="center"/>
          </w:tcPr>
          <w:p w14:paraId="3AF97B60" w14:textId="5A294C4C" w:rsidR="009312E5" w:rsidRPr="00DC3CDD" w:rsidRDefault="009312E5" w:rsidP="0093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До складу набору входить:</w:t>
            </w:r>
            <w:r>
              <w:rPr>
                <w:color w:val="000000"/>
              </w:rPr>
              <w:br/>
              <w:t xml:space="preserve">шапочка-берет медична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13г/м2)</w:t>
            </w:r>
            <w:r>
              <w:rPr>
                <w:color w:val="000000"/>
              </w:rPr>
              <w:br/>
              <w:t xml:space="preserve">маска медична тришарова на резинках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+ фільтруючий </w:t>
            </w:r>
            <w:proofErr w:type="spellStart"/>
            <w:r>
              <w:rPr>
                <w:color w:val="000000"/>
              </w:rPr>
              <w:t>шармелтблаун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халат медичний (хірургічний) на зав’язках довжиною 130 см (розмір 50-52 (L)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бахіли</w:t>
            </w:r>
            <w:proofErr w:type="spellEnd"/>
            <w:r>
              <w:rPr>
                <w:color w:val="000000"/>
              </w:rPr>
              <w:t xml:space="preserve"> медичні середні 3 пари (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30г/м2)</w:t>
            </w:r>
            <w:r>
              <w:rPr>
                <w:color w:val="000000"/>
              </w:rPr>
              <w:br/>
              <w:t xml:space="preserve">покриття операційне 200 × 160 см для операційного столу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35г/м2)</w:t>
            </w:r>
            <w:r>
              <w:rPr>
                <w:color w:val="000000"/>
              </w:rPr>
              <w:br/>
              <w:t xml:space="preserve">покриття операційне 160 × 140 см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</w:t>
            </w:r>
            <w:r>
              <w:rPr>
                <w:color w:val="000000"/>
              </w:rPr>
              <w:br/>
              <w:t xml:space="preserve">покриття операційне 80 × 70 см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(СМС 35г/м2</w:t>
            </w:r>
            <w:r>
              <w:rPr>
                <w:color w:val="000000"/>
              </w:rPr>
              <w:br/>
              <w:t>Використані матеріали: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13г/м2;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+ фільтруючий </w:t>
            </w:r>
            <w:proofErr w:type="spellStart"/>
            <w:r>
              <w:rPr>
                <w:color w:val="000000"/>
              </w:rPr>
              <w:t>шармелтблаун</w:t>
            </w:r>
            <w:proofErr w:type="spellEnd"/>
            <w:r>
              <w:rPr>
                <w:color w:val="000000"/>
              </w:rPr>
              <w:t xml:space="preserve">; СМС 35г/м2;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 xml:space="preserve"> 30г/м2;</w:t>
            </w:r>
          </w:p>
        </w:tc>
        <w:tc>
          <w:tcPr>
            <w:tcW w:w="1134" w:type="dxa"/>
            <w:vAlign w:val="center"/>
          </w:tcPr>
          <w:p w14:paraId="0FFEF5D5" w14:textId="63847799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329ABB2" w14:textId="1A1FB2CC" w:rsidR="009312E5" w:rsidRPr="00DC3CDD" w:rsidRDefault="009312E5" w:rsidP="009312E5">
            <w:pPr>
              <w:jc w:val="center"/>
              <w:rPr>
                <w:sz w:val="20"/>
                <w:szCs w:val="20"/>
              </w:rPr>
            </w:pPr>
            <w:r w:rsidRPr="003B2B7E">
              <w:t>350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58D2B859" w14:textId="77777777" w:rsidR="009312E5" w:rsidRDefault="009312E5" w:rsidP="002E5713">
      <w:pPr>
        <w:ind w:right="141"/>
        <w:rPr>
          <w:b/>
          <w:lang w:val="uk-UA"/>
        </w:rPr>
      </w:pPr>
    </w:p>
    <w:p w14:paraId="71E9A4A6" w14:textId="77777777" w:rsidR="009312E5" w:rsidRDefault="009312E5" w:rsidP="002E5713">
      <w:pPr>
        <w:ind w:right="141"/>
        <w:rPr>
          <w:b/>
          <w:lang w:val="uk-UA"/>
        </w:rPr>
      </w:pPr>
    </w:p>
    <w:p w14:paraId="3B5AF5ED" w14:textId="26F7223F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lastRenderedPageBreak/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C449" w14:textId="77777777" w:rsidR="002606F9" w:rsidRDefault="002606F9" w:rsidP="005D356F">
      <w:r>
        <w:separator/>
      </w:r>
    </w:p>
  </w:endnote>
  <w:endnote w:type="continuationSeparator" w:id="0">
    <w:p w14:paraId="566ECE78" w14:textId="77777777" w:rsidR="002606F9" w:rsidRDefault="002606F9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9962" w14:textId="77777777" w:rsidR="002606F9" w:rsidRDefault="002606F9" w:rsidP="005D356F">
      <w:r>
        <w:separator/>
      </w:r>
    </w:p>
  </w:footnote>
  <w:footnote w:type="continuationSeparator" w:id="0">
    <w:p w14:paraId="283335BA" w14:textId="77777777" w:rsidR="002606F9" w:rsidRDefault="002606F9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1BB2"/>
    <w:rsid w:val="000F5906"/>
    <w:rsid w:val="00102BBD"/>
    <w:rsid w:val="00135510"/>
    <w:rsid w:val="00142114"/>
    <w:rsid w:val="00156045"/>
    <w:rsid w:val="00164BDC"/>
    <w:rsid w:val="00174A6C"/>
    <w:rsid w:val="00176A89"/>
    <w:rsid w:val="001A4A0E"/>
    <w:rsid w:val="001A65CF"/>
    <w:rsid w:val="001B11D3"/>
    <w:rsid w:val="00220733"/>
    <w:rsid w:val="002606F9"/>
    <w:rsid w:val="002761DD"/>
    <w:rsid w:val="00287A12"/>
    <w:rsid w:val="002A4614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816B6"/>
    <w:rsid w:val="004913A7"/>
    <w:rsid w:val="004B4721"/>
    <w:rsid w:val="004E26A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377C"/>
    <w:rsid w:val="0067410B"/>
    <w:rsid w:val="006B37C6"/>
    <w:rsid w:val="006D0724"/>
    <w:rsid w:val="006F4A43"/>
    <w:rsid w:val="006F66E7"/>
    <w:rsid w:val="00715182"/>
    <w:rsid w:val="00770669"/>
    <w:rsid w:val="007A0C3A"/>
    <w:rsid w:val="007D75D8"/>
    <w:rsid w:val="00851DBE"/>
    <w:rsid w:val="00856190"/>
    <w:rsid w:val="008A106B"/>
    <w:rsid w:val="008A6059"/>
    <w:rsid w:val="008B178E"/>
    <w:rsid w:val="008B61AE"/>
    <w:rsid w:val="008C282B"/>
    <w:rsid w:val="008C37CE"/>
    <w:rsid w:val="008D4885"/>
    <w:rsid w:val="008F252C"/>
    <w:rsid w:val="0090252A"/>
    <w:rsid w:val="009312E5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81A"/>
    <w:rsid w:val="00B55F3D"/>
    <w:rsid w:val="00B577A6"/>
    <w:rsid w:val="00B724BF"/>
    <w:rsid w:val="00B95AA1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C3CDD"/>
    <w:rsid w:val="00DE1602"/>
    <w:rsid w:val="00E3070A"/>
    <w:rsid w:val="00E434C3"/>
    <w:rsid w:val="00E72CFC"/>
    <w:rsid w:val="00EC05E1"/>
    <w:rsid w:val="00EC5C16"/>
    <w:rsid w:val="00F13E25"/>
    <w:rsid w:val="00F62124"/>
    <w:rsid w:val="00F83A05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26</cp:revision>
  <dcterms:created xsi:type="dcterms:W3CDTF">2023-10-07T17:18:00Z</dcterms:created>
  <dcterms:modified xsi:type="dcterms:W3CDTF">2024-04-03T05:50:00Z</dcterms:modified>
</cp:coreProperties>
</file>