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6"/>
          <w:szCs w:val="26"/>
          <w:lang w:val="en-US"/>
        </w:rPr>
      </w:pPr>
      <w:r>
        <w:rPr>
          <w:rFonts w:ascii="Times New Roman" w:hAnsi="Times New Roman"/>
          <w:b/>
          <w:bCs/>
          <w:sz w:val="26"/>
          <w:szCs w:val="26"/>
          <w:lang w:val="en-US"/>
        </w:rPr>
      </w:r>
    </w:p>
    <w:p>
      <w:pPr>
        <w:pStyle w:val="Normal"/>
        <w:jc w:val="center"/>
        <w:rPr>
          <w:rFonts w:ascii="Times New Roman" w:hAnsi="Times New Roman"/>
          <w:b/>
          <w:b/>
          <w:bCs/>
          <w:sz w:val="26"/>
          <w:szCs w:val="26"/>
        </w:rPr>
      </w:pPr>
      <w:r>
        <w:rPr>
          <w:rFonts w:ascii="Times New Roman" w:hAnsi="Times New Roman"/>
          <w:b/>
          <w:bCs/>
          <w:sz w:val="26"/>
          <w:szCs w:val="26"/>
        </w:rPr>
        <w:t xml:space="preserve">Комунальне некомерційне підприємство «Бердичівська міська лікарня»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Бердичівської міської  ради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tbl>
      <w:tblPr>
        <w:tblW w:w="9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66"/>
        <w:gridCol w:w="5534"/>
      </w:tblGrid>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"ЗАТВЕРДЖЕНО"</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Уповноважена особа</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rPr>
              <w:t xml:space="preserve">___________ </w:t>
            </w:r>
            <w:r>
              <w:rPr>
                <w:rFonts w:cs="Times New Roman" w:ascii="Times New Roman" w:hAnsi="Times New Roman"/>
                <w:b/>
                <w:bCs/>
                <w:color w:val="000000"/>
                <w:sz w:val="24"/>
                <w:szCs w:val="24"/>
              </w:rPr>
              <w:t>Олена СЕМЕНЮК</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shd w:fill="FFFFFF" w:val="clear"/>
              </w:rPr>
              <w:t xml:space="preserve">Рішення </w:t>
            </w: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18</w:t>
            </w:r>
            <w:r>
              <w:rPr>
                <w:rFonts w:cs="Times New Roman" w:ascii="Times New Roman" w:hAnsi="Times New Roman"/>
                <w:b/>
                <w:bCs/>
                <w:color w:val="C9211E"/>
                <w:sz w:val="24"/>
                <w:szCs w:val="24"/>
              </w:rPr>
              <w:t xml:space="preserve"> </w:t>
            </w:r>
            <w:r>
              <w:rPr>
                <w:rFonts w:cs="Times New Roman" w:ascii="Times New Roman" w:hAnsi="Times New Roman"/>
                <w:b/>
                <w:bCs/>
                <w:color w:val="000000"/>
                <w:sz w:val="24"/>
                <w:szCs w:val="24"/>
              </w:rPr>
              <w:t>від 1</w:t>
            </w:r>
            <w:r>
              <w:rPr>
                <w:rFonts w:cs="Times New Roman" w:ascii="Times New Roman" w:hAnsi="Times New Roman"/>
                <w:b/>
                <w:bCs/>
                <w:color w:val="000000"/>
                <w:sz w:val="24"/>
                <w:szCs w:val="24"/>
              </w:rPr>
              <w:t>5</w:t>
            </w:r>
            <w:r>
              <w:rPr>
                <w:rFonts w:cs="Times New Roman" w:ascii="Times New Roman" w:hAnsi="Times New Roman"/>
                <w:b/>
                <w:bCs/>
                <w:color w:val="000000"/>
                <w:sz w:val="24"/>
                <w:szCs w:val="24"/>
              </w:rPr>
              <w:t>.0</w:t>
            </w:r>
            <w:r>
              <w:rPr>
                <w:rFonts w:cs="Times New Roman" w:ascii="Times New Roman" w:hAnsi="Times New Roman"/>
                <w:b/>
                <w:bCs/>
                <w:color w:val="000000"/>
                <w:sz w:val="24"/>
                <w:szCs w:val="24"/>
              </w:rPr>
              <w:t>3</w:t>
            </w:r>
            <w:r>
              <w:rPr>
                <w:rFonts w:cs="Times New Roman" w:ascii="Times New Roman" w:hAnsi="Times New Roman"/>
                <w:b/>
                <w:bCs/>
                <w:color w:val="000000"/>
                <w:sz w:val="24"/>
                <w:szCs w:val="24"/>
              </w:rPr>
              <w:t>.2024 р</w:t>
            </w:r>
            <w:r>
              <w:rPr>
                <w:rFonts w:cs="Times New Roman" w:ascii="Times New Roman" w:hAnsi="Times New Roman"/>
                <w:b/>
                <w:bCs/>
                <w:color w:val="000000"/>
                <w:sz w:val="24"/>
                <w:szCs w:val="24"/>
                <w:shd w:fill="FFFFFF" w:val="clear"/>
              </w:rPr>
              <w:t>.</w:t>
            </w:r>
          </w:p>
        </w:tc>
      </w:tr>
    </w:tbl>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8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48"/>
      </w:tblGrid>
      <w:tr>
        <w:trPr/>
        <w:tc>
          <w:tcPr>
            <w:tcW w:w="9848" w:type="dxa"/>
            <w:tcBorders/>
            <w:shd w:color="auto" w:fill="auto" w:val="clear"/>
          </w:tcPr>
          <w:p>
            <w:pPr>
              <w:pStyle w:val="Normal"/>
              <w:widowControl w:val="false"/>
              <w:spacing w:lineRule="auto" w:line="240" w:before="0" w:after="160"/>
              <w:jc w:val="center"/>
              <w:rPr>
                <w:rFonts w:ascii="Times New Roman" w:hAnsi="Times New Roman" w:eastAsia="Times New Roman" w:cs="Times New Roman"/>
                <w:b/>
                <w:b/>
                <w:bCs/>
                <w:sz w:val="40"/>
                <w:szCs w:val="40"/>
              </w:rPr>
            </w:pPr>
            <w:r>
              <w:rPr>
                <w:rFonts w:eastAsia="Times New Roman" w:cs="Times New Roman" w:ascii="Times New Roman" w:hAnsi="Times New Roman"/>
                <w:b/>
                <w:bCs/>
                <w:sz w:val="40"/>
                <w:szCs w:val="40"/>
              </w:rPr>
              <w:t>ТЕНДЕРНА ДОКУМЕНТАЦІЯ</w:t>
            </w:r>
          </w:p>
        </w:tc>
      </w:tr>
    </w:tbl>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 xml:space="preserve">по процедурі закупівлі  </w:t>
      </w:r>
    </w:p>
    <w:p>
      <w:pPr>
        <w:pStyle w:val="Normal"/>
        <w:spacing w:lineRule="auto" w:line="240"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before="0" w:after="0"/>
        <w:jc w:val="center"/>
        <w:rPr>
          <w:sz w:val="32"/>
          <w:szCs w:val="32"/>
        </w:rPr>
      </w:pPr>
      <w:r>
        <w:rPr>
          <w:rFonts w:eastAsia="Times New Roman" w:cs="Times New Roman" w:ascii="Times New Roman" w:hAnsi="Times New Roman"/>
          <w:b/>
          <w:bCs/>
          <w:sz w:val="32"/>
          <w:szCs w:val="32"/>
        </w:rPr>
        <w:t>ВІДКРИТІ ТОРГИ З ОСОБЛИВОСТЯМИ</w:t>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sz w:val="36"/>
          <w:szCs w:val="36"/>
        </w:rPr>
      </w:pPr>
      <w:bookmarkStart w:id="0" w:name="__DdeLink__16899_11747850833"/>
      <w:r>
        <w:rPr>
          <w:rFonts w:eastAsia="Times New Roman" w:cs="Times New Roman" w:ascii="Times New Roman" w:hAnsi="Times New Roman"/>
          <w:b/>
          <w:bCs/>
          <w:i/>
          <w:iCs/>
          <w:sz w:val="36"/>
          <w:szCs w:val="36"/>
          <w:lang w:eastAsia="zh-CN" w:bidi="uk-UA"/>
        </w:rPr>
        <w:t xml:space="preserve">Послуги з технічного обслуговування </w:t>
      </w:r>
      <w:bookmarkEnd w:id="0"/>
      <w:r>
        <w:rPr>
          <w:rFonts w:eastAsia="Times New Roman" w:cs="Times New Roman" w:ascii="Times New Roman" w:hAnsi="Times New Roman"/>
          <w:b/>
          <w:bCs/>
          <w:i/>
          <w:iCs/>
          <w:color w:val="auto"/>
          <w:kern w:val="0"/>
          <w:sz w:val="36"/>
          <w:szCs w:val="36"/>
          <w:highlight w:val="white"/>
          <w:lang w:val="uk-UA" w:eastAsia="zh-CN" w:bidi="uk-UA"/>
        </w:rPr>
        <w:t xml:space="preserve">компресора </w:t>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sz w:val="36"/>
          <w:szCs w:val="36"/>
        </w:rPr>
      </w:pPr>
      <w:r>
        <w:rPr>
          <w:rFonts w:eastAsia="Times New Roman" w:cs="Times New Roman" w:ascii="Times New Roman" w:hAnsi="Times New Roman"/>
          <w:b/>
          <w:bCs/>
          <w:i/>
          <w:iCs/>
          <w:color w:val="auto"/>
          <w:kern w:val="0"/>
          <w:sz w:val="36"/>
          <w:szCs w:val="36"/>
          <w:highlight w:val="white"/>
          <w:lang w:val="uk-UA" w:eastAsia="zh-CN" w:bidi="uk-UA"/>
        </w:rPr>
        <w:t xml:space="preserve"> </w:t>
      </w:r>
      <w:r>
        <w:rPr>
          <w:rFonts w:eastAsia="Times New Roman" w:cs="Times New Roman" w:ascii="Times New Roman" w:hAnsi="Times New Roman"/>
          <w:b/>
          <w:bCs/>
          <w:i/>
          <w:iCs/>
          <w:color w:val="auto"/>
          <w:kern w:val="0"/>
          <w:sz w:val="36"/>
          <w:szCs w:val="36"/>
          <w:highlight w:val="white"/>
          <w:lang w:val="en-US" w:eastAsia="zh-CN" w:bidi="uk-UA"/>
        </w:rPr>
        <w:t>ZELKO</w:t>
      </w:r>
      <w:r>
        <w:rPr>
          <w:rFonts w:eastAsia="Times New Roman" w:cs="Times New Roman" w:ascii="Times New Roman" w:hAnsi="Times New Roman"/>
          <w:b/>
          <w:bCs/>
          <w:i/>
          <w:iCs/>
          <w:color w:val="auto"/>
          <w:kern w:val="0"/>
          <w:sz w:val="36"/>
          <w:szCs w:val="36"/>
          <w:highlight w:val="white"/>
          <w:lang w:val="uk-UA" w:eastAsia="zh-CN" w:bidi="uk-UA"/>
        </w:rPr>
        <w:t xml:space="preserve"> </w:t>
      </w:r>
      <w:r>
        <w:rPr>
          <w:rFonts w:eastAsia="Times New Roman" w:cs="Times New Roman" w:ascii="Times New Roman" w:hAnsi="Times New Roman"/>
          <w:b/>
          <w:bCs/>
          <w:i/>
          <w:iCs/>
          <w:color w:val="auto"/>
          <w:kern w:val="0"/>
          <w:sz w:val="36"/>
          <w:szCs w:val="36"/>
          <w:highlight w:val="white"/>
          <w:lang w:val="uk-UA" w:eastAsia="zh-CN" w:bidi="uk-UA"/>
        </w:rPr>
        <w:t>30 та генератора кисню</w:t>
      </w:r>
      <w:r>
        <w:rPr>
          <w:rFonts w:eastAsia="Times New Roman" w:cs="Times New Roman" w:ascii="Times New Roman" w:hAnsi="Times New Roman"/>
          <w:b/>
          <w:bCs/>
          <w:i/>
          <w:iCs/>
          <w:color w:val="auto"/>
          <w:kern w:val="0"/>
          <w:sz w:val="36"/>
          <w:szCs w:val="36"/>
          <w:highlight w:val="white"/>
          <w:lang w:val="uk-UA" w:eastAsia="zh-CN" w:bidi="uk-UA"/>
        </w:rPr>
        <w:t xml:space="preserve"> </w:t>
      </w:r>
      <w:r>
        <w:rPr>
          <w:rFonts w:eastAsia="Times New Roman" w:cs="Times New Roman" w:ascii="Times New Roman" w:hAnsi="Times New Roman"/>
          <w:b/>
          <w:bCs/>
          <w:i/>
          <w:iCs/>
          <w:color w:val="auto"/>
          <w:kern w:val="0"/>
          <w:sz w:val="36"/>
          <w:szCs w:val="36"/>
          <w:highlight w:val="white"/>
          <w:lang w:val="en-US" w:eastAsia="zh-CN" w:bidi="uk-UA"/>
        </w:rPr>
        <w:t xml:space="preserve">OG  </w:t>
      </w:r>
      <w:r>
        <w:rPr>
          <w:rFonts w:eastAsia="Times New Roman" w:cs="Times New Roman" w:ascii="Times New Roman" w:hAnsi="Times New Roman"/>
          <w:b/>
          <w:bCs/>
          <w:i/>
          <w:iCs/>
          <w:color w:val="auto"/>
          <w:kern w:val="0"/>
          <w:sz w:val="36"/>
          <w:szCs w:val="36"/>
          <w:highlight w:val="white"/>
          <w:lang w:val="uk-UA" w:eastAsia="zh-CN" w:bidi="uk-UA"/>
        </w:rPr>
        <w:t>180</w:t>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b/>
          <w:b/>
          <w:bCs/>
          <w:sz w:val="28"/>
          <w:szCs w:val="28"/>
        </w:rPr>
      </w:pPr>
      <w:r>
        <w:rPr>
          <w:rFonts w:eastAsia="Times New Roman" w:cs="Times New Roman" w:ascii="Times New Roman" w:hAnsi="Times New Roman"/>
          <w:b/>
          <w:bCs/>
          <w:i/>
          <w:iCs/>
          <w:color w:val="000000"/>
          <w:sz w:val="28"/>
          <w:szCs w:val="28"/>
          <w:highlight w:val="white"/>
          <w:lang w:eastAsia="zh-CN" w:bidi="uk-UA"/>
        </w:rPr>
        <w:t>ДК 021:2015: 50420000-5 Послуги з ремонту і технічного обслуговування медичного та хірургічного обладнання</w:t>
      </w:r>
    </w:p>
    <w:p>
      <w:pPr>
        <w:pStyle w:val="Normal"/>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Times New Roman" w:cs="Times New Roman"/>
          <w:b/>
          <w:b/>
          <w:bCs/>
          <w:i/>
          <w:i/>
          <w:iCs/>
          <w:sz w:val="24"/>
          <w:szCs w:val="24"/>
          <w:highlight w:val="white"/>
          <w:lang w:eastAsia="zh-CN" w:bidi="uk-UA"/>
        </w:rPr>
      </w:pPr>
      <w:r>
        <w:rPr>
          <w:rFonts w:eastAsia="Times New Roman" w:cs="Times New Roman" w:ascii="Times New Roman" w:hAnsi="Times New Roman"/>
          <w:b/>
          <w:bCs/>
          <w:i/>
          <w:iCs/>
          <w:sz w:val="24"/>
          <w:szCs w:val="24"/>
          <w:highlight w:val="white"/>
          <w:lang w:eastAsia="zh-CN" w:bidi="uk-UA"/>
        </w:rPr>
      </w:r>
      <w:bookmarkStart w:id="1" w:name="__DdeLink__16899_1174785083"/>
      <w:bookmarkStart w:id="2" w:name="__DdeLink__16899_1174785083"/>
      <w:bookmarkEnd w:id="2"/>
    </w:p>
    <w:p>
      <w:pPr>
        <w:pStyle w:val="Normal"/>
        <w:numPr>
          <w:ilvl w:val="0"/>
          <w:numId w:val="0"/>
        </w:numPr>
        <w:spacing w:lineRule="auto" w:line="240" w:before="0" w:after="0"/>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spacing w:lineRule="auto" w:line="24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sectPr>
          <w:headerReference w:type="even" r:id="rId2"/>
          <w:headerReference w:type="default" r:id="rId3"/>
          <w:footerReference w:type="even" r:id="rId4"/>
          <w:footerReference w:type="default" r:id="rId5"/>
          <w:type w:val="nextPage"/>
          <w:pgSz w:w="11906" w:h="16838"/>
          <w:pgMar w:left="1417" w:right="1354" w:gutter="0" w:header="225" w:top="367" w:footer="398" w:bottom="455"/>
          <w:pgNumType w:start="1" w:fmt="decimal"/>
          <w:formProt w:val="false"/>
          <w:textDirection w:val="lrTb"/>
          <w:docGrid w:type="default" w:linePitch="100" w:charSpace="12288"/>
        </w:sectPr>
        <w:pStyle w:val="Normal"/>
        <w:spacing w:lineRule="auto" w:line="240"/>
        <w:jc w:val="center"/>
        <w:rPr/>
      </w:pPr>
      <w:r>
        <w:rPr>
          <w:rFonts w:eastAsia="Times New Roman" w:cs="Times New Roman" w:ascii="Times New Roman" w:hAnsi="Times New Roman"/>
          <w:bCs/>
          <w:sz w:val="32"/>
          <w:szCs w:val="32"/>
        </w:rPr>
        <w:t>м. Бердичів – 2024</w:t>
      </w:r>
    </w:p>
    <w:tbl>
      <w:tblPr>
        <w:tblW w:w="1014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4"/>
        <w:gridCol w:w="2778"/>
        <w:gridCol w:w="6663"/>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4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spacing w:lineRule="auto" w:line="240" w:before="96" w:after="160"/>
              <w:jc w:val="both"/>
              <w:rPr/>
            </w:pPr>
            <w:r>
              <w:rPr>
                <w:rFonts w:cs="Times New Roman" w:ascii="Times New Roman" w:hAnsi="Times New Roman"/>
                <w:color w:val="auto"/>
                <w:sz w:val="24"/>
                <w:szCs w:val="24"/>
                <w:lang w:val="uk-UA"/>
              </w:rPr>
              <w:t xml:space="preserve">Тендерну документацію розроблено відповідно до вимог </w:t>
            </w:r>
            <w:hyperlink r:id="rId6">
              <w:r>
                <w:rPr>
                  <w:rFonts w:cs="Times New Roman" w:ascii="Times New Roman" w:hAnsi="Times New Roman"/>
                  <w:color w:val="auto"/>
                  <w:sz w:val="24"/>
                  <w:szCs w:val="24"/>
                  <w:lang w:val="uk-UA"/>
                </w:rPr>
                <w:t>Закону</w:t>
              </w:r>
            </w:hyperlink>
            <w:r>
              <w:rPr>
                <w:rFonts w:cs="Times New Roman" w:ascii="Times New Roman" w:hAnsi="Times New Roman"/>
                <w:color w:val="auto"/>
                <w:sz w:val="24"/>
                <w:szCs w:val="24"/>
                <w:lang w:val="uk-UA"/>
              </w:rPr>
              <w:t xml:space="preserve"> «Про публічні закупівлі»</w:t>
            </w:r>
            <w:r>
              <w:rPr>
                <w:rFonts w:cs="Times New Roman" w:ascii="Times New Roman" w:hAnsi="Times New Roman"/>
                <w:color w:val="auto"/>
                <w:sz w:val="24"/>
                <w:szCs w:val="24"/>
              </w:rPr>
              <w:t>.</w:t>
            </w:r>
            <w:r>
              <w:rPr>
                <w:rFonts w:cs="Times New Roman" w:ascii="Times New Roman" w:hAnsi="Times New Roman"/>
                <w:color w:val="auto"/>
                <w:sz w:val="24"/>
                <w:szCs w:val="24"/>
                <w:lang w:val="uk-UA"/>
              </w:rPr>
              <w:t xml:space="preserve">  Терміни вживаються у значенні, наведеному в Законі.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урахуванням особливостей, визначених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замовника торгів</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121212"/>
                <w:sz w:val="24"/>
                <w:szCs w:val="24"/>
              </w:rPr>
            </w:pPr>
            <w:r>
              <w:rPr>
                <w:rFonts w:ascii="Times New Roman" w:hAnsi="Times New Roman"/>
                <w:color w:val="121212"/>
                <w:sz w:val="24"/>
                <w:szCs w:val="24"/>
              </w:rPr>
              <w:t>Комунальне некомерційне підприємство «Бердичівська міська лікарня» Бердичівської міської ради</w:t>
            </w:r>
          </w:p>
          <w:p>
            <w:pPr>
              <w:pStyle w:val="Normal"/>
              <w:widowControl w:val="false"/>
              <w:shd w:val="clear" w:color="auto" w:fill="FFFFFF"/>
              <w:spacing w:before="0" w:after="150"/>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Код 01992015</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olor w:val="000000"/>
                <w:sz w:val="24"/>
                <w:szCs w:val="24"/>
                <w:lang w:eastAsia="hi-IN" w:bidi="hi-IN"/>
              </w:rPr>
            </w:pPr>
            <w:r>
              <w:rPr>
                <w:rFonts w:ascii="Times New Roman" w:hAnsi="Times New Roman"/>
                <w:color w:val="000000"/>
                <w:sz w:val="24"/>
                <w:szCs w:val="24"/>
                <w:lang w:eastAsia="hi-IN" w:bidi="hi-IN"/>
              </w:rPr>
              <w:t>Україна, 13300, Житомирська обл., місто Бердичів, вулиця Здоров’я, будинок 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mes New Roman" w:hAnsi="Times New Roman"/>
                <w:color w:val="000000"/>
                <w:sz w:val="24"/>
                <w:szCs w:val="24"/>
                <w:shd w:fill="FFFFFF" w:val="clear"/>
              </w:rPr>
              <w:t>ПІБ:  Семенюк Олена Володимирівна</w:t>
            </w:r>
          </w:p>
          <w:p>
            <w:pPr>
              <w:pStyle w:val="Normal"/>
              <w:widowControl w:val="false"/>
              <w:jc w:val="both"/>
              <w:rPr/>
            </w:pPr>
            <w:r>
              <w:rPr>
                <w:rFonts w:ascii="Times New Roman" w:hAnsi="Times New Roman"/>
                <w:color w:val="000000"/>
                <w:sz w:val="24"/>
                <w:szCs w:val="24"/>
                <w:shd w:fill="FFFFFF" w:val="clear"/>
              </w:rPr>
              <w:t>Посада: фахівець з публічних закупівель, уповноважена особа</w:t>
            </w:r>
          </w:p>
          <w:p>
            <w:pPr>
              <w:pStyle w:val="Normal"/>
              <w:widowControl w:val="false"/>
              <w:jc w:val="both"/>
              <w:rPr/>
            </w:pPr>
            <w:r>
              <w:rPr>
                <w:rFonts w:cs="Times New Roman" w:ascii="Times New Roman" w:hAnsi="Times New Roman"/>
                <w:color w:val="000000"/>
                <w:sz w:val="24"/>
                <w:szCs w:val="24"/>
                <w:shd w:fill="FFFFFF" w:val="clear"/>
              </w:rPr>
              <w:t>13300, Житомирська обл., місто Бердичів, вулиця Здоров'я, будинок 1, тел. +380976962405,</w:t>
            </w:r>
          </w:p>
          <w:p>
            <w:pPr>
              <w:pStyle w:val="Normal"/>
              <w:widowControl w:val="false"/>
              <w:spacing w:before="0" w:after="160"/>
              <w:jc w:val="both"/>
              <w:rPr/>
            </w:pPr>
            <w:r>
              <w:rPr>
                <w:rFonts w:cs="Times New Roman" w:ascii="Times New Roman" w:hAnsi="Times New Roman"/>
                <w:color w:val="000000"/>
                <w:sz w:val="24"/>
                <w:szCs w:val="24"/>
                <w:shd w:fill="FFFFFF" w:val="clear"/>
              </w:rPr>
              <w:t xml:space="preserve">e-mail: </w:t>
            </w:r>
            <w:r>
              <w:rPr>
                <w:rFonts w:cs="Times New Roman" w:ascii="Times New Roman" w:hAnsi="Times New Roman"/>
                <w:color w:val="000000"/>
                <w:sz w:val="24"/>
                <w:szCs w:val="24"/>
                <w:shd w:fill="FFFFFF" w:val="clear"/>
                <w:lang w:val="en-US"/>
              </w:rPr>
              <w:t>bml_zakupivli@ukr.net</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закупівлі</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предмет закупівлі</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32"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Times New Roman" w:cs="Times New Roman"/>
                <w:b/>
                <w:b/>
                <w:bCs/>
                <w:i w:val="false"/>
                <w:i w:val="false"/>
                <w:iCs w:val="false"/>
                <w:sz w:val="24"/>
                <w:szCs w:val="24"/>
              </w:rPr>
            </w:pPr>
            <w:r>
              <w:rPr>
                <w:rFonts w:eastAsia="Times New Roman" w:cs="Times New Roman" w:ascii="Times New Roman" w:hAnsi="Times New Roman"/>
                <w:b/>
                <w:bCs/>
                <w:i w:val="false"/>
                <w:iCs w:val="false"/>
                <w:color w:val="auto"/>
                <w:kern w:val="0"/>
                <w:sz w:val="24"/>
                <w:szCs w:val="24"/>
                <w:highlight w:val="white"/>
                <w:lang w:val="en-US" w:eastAsia="zh-CN" w:bidi="uk-UA"/>
              </w:rPr>
              <w:t xml:space="preserve">Послуги з технічного обслуговування компресора </w:t>
            </w:r>
          </w:p>
          <w:p>
            <w:pPr>
              <w:pStyle w:val="Normal"/>
              <w:widowControl w:val="false"/>
              <w:numPr>
                <w:ilvl w:val="0"/>
                <w:numId w:val="0"/>
              </w:numPr>
              <w:shd w:val="clear" w:color="auto" w:fill="FFFFFF"/>
              <w:tabs>
                <w:tab w:val="clear" w:pos="708"/>
                <w:tab w:val="left" w:pos="567" w:leader="none"/>
              </w:tabs>
              <w:spacing w:lineRule="auto" w:line="240" w:before="0" w:after="0"/>
              <w:ind w:left="0" w:right="-426" w:firstLine="284"/>
              <w:contextualSpacing/>
              <w:jc w:val="center"/>
              <w:textAlignment w:val="baseline"/>
              <w:outlineLvl w:val="0"/>
              <w:rPr>
                <w:rFonts w:ascii="Times New Roman" w:hAnsi="Times New Roman" w:eastAsia="Times New Roman" w:cs="Times New Roman"/>
                <w:b/>
                <w:b/>
                <w:bCs/>
                <w:i w:val="false"/>
                <w:i w:val="false"/>
                <w:iCs w:val="false"/>
                <w:sz w:val="24"/>
                <w:szCs w:val="24"/>
              </w:rPr>
            </w:pPr>
            <w:r>
              <w:rPr>
                <w:rFonts w:eastAsia="Times New Roman" w:cs="Times New Roman" w:ascii="Times New Roman" w:hAnsi="Times New Roman"/>
                <w:b/>
                <w:bCs/>
                <w:i w:val="false"/>
                <w:iCs w:val="false"/>
                <w:color w:val="auto"/>
                <w:kern w:val="0"/>
                <w:sz w:val="24"/>
                <w:szCs w:val="24"/>
                <w:highlight w:val="white"/>
                <w:lang w:val="en-US" w:eastAsia="zh-CN" w:bidi="uk-UA"/>
              </w:rPr>
              <w:t xml:space="preserve"> </w:t>
            </w:r>
            <w:r>
              <w:rPr>
                <w:rFonts w:eastAsia="Times New Roman" w:cs="Times New Roman" w:ascii="Times New Roman" w:hAnsi="Times New Roman"/>
                <w:b/>
                <w:bCs/>
                <w:i w:val="false"/>
                <w:iCs w:val="false"/>
                <w:color w:val="auto"/>
                <w:kern w:val="0"/>
                <w:sz w:val="24"/>
                <w:szCs w:val="24"/>
                <w:highlight w:val="white"/>
                <w:lang w:val="en-US" w:eastAsia="zh-CN" w:bidi="uk-UA"/>
              </w:rPr>
              <w:t>ZELKO 30 та генератора кисню OG  180</w:t>
            </w:r>
          </w:p>
          <w:p>
            <w:pPr>
              <w:pStyle w:val="Normal"/>
              <w:widowControl w:val="false"/>
              <w:numPr>
                <w:ilvl w:val="0"/>
                <w:numId w:val="0"/>
              </w:numPr>
              <w:shd w:val="clear" w:color="auto" w:fill="FFFFFF"/>
              <w:tabs>
                <w:tab w:val="clear" w:pos="708"/>
                <w:tab w:val="left" w:pos="567" w:leader="none"/>
              </w:tabs>
              <w:spacing w:lineRule="auto" w:line="240" w:before="0" w:after="0"/>
              <w:ind w:left="0" w:right="-426" w:firstLine="284"/>
              <w:contextualSpacing/>
              <w:jc w:val="left"/>
              <w:textAlignment w:val="baseline"/>
              <w:outlineLvl w:val="0"/>
              <w:rPr>
                <w:b/>
                <w:b/>
                <w:bCs/>
                <w:i w:val="false"/>
                <w:i w:val="false"/>
                <w:iCs w:val="false"/>
                <w:sz w:val="24"/>
                <w:szCs w:val="24"/>
              </w:rPr>
            </w:pPr>
            <w:r>
              <w:rPr>
                <w:rFonts w:eastAsia="Times New Roman" w:cs="Times New Roman" w:ascii="Times New Roman" w:hAnsi="Times New Roman"/>
                <w:b/>
                <w:bCs/>
                <w:i w:val="false"/>
                <w:iCs w:val="false"/>
                <w:color w:val="000000"/>
                <w:sz w:val="24"/>
                <w:szCs w:val="24"/>
                <w:highlight w:val="white"/>
                <w:lang w:eastAsia="zh-CN" w:bidi="uk-UA"/>
              </w:rPr>
              <w:t xml:space="preserve">ДК 021:2015: </w:t>
            </w:r>
            <w:r>
              <w:rPr>
                <w:rFonts w:eastAsia="Times New Roman" w:cs="Times New Roman" w:ascii="Times New Roman" w:hAnsi="Times New Roman"/>
                <w:b/>
                <w:bCs/>
                <w:i w:val="false"/>
                <w:iCs w:val="false"/>
                <w:caps w:val="false"/>
                <w:smallCaps w:val="false"/>
                <w:color w:val="000000"/>
                <w:spacing w:val="0"/>
                <w:sz w:val="24"/>
                <w:szCs w:val="24"/>
                <w:highlight w:val="white"/>
                <w:lang w:eastAsia="zh-CN" w:bidi="uk-UA"/>
              </w:rPr>
              <w:t>50420000-5 Послуги з ремонту і технічного обслуговування медичного та хірургічного обладнання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предмета закупівлі в цілому.</w:t>
            </w:r>
          </w:p>
        </w:tc>
      </w:tr>
      <w:tr>
        <w:trPr>
          <w:trHeight w:val="558"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місце, кількість, обсяг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contextualSpacing/>
              <w:jc w:val="both"/>
              <w:rPr/>
            </w:pPr>
            <w:r>
              <w:rPr>
                <w:rFonts w:cs="Times New Roman" w:ascii="Times New Roman" w:hAnsi="Times New Roman"/>
                <w:sz w:val="24"/>
                <w:szCs w:val="24"/>
                <w:lang w:eastAsia="en-US"/>
              </w:rPr>
              <w:t xml:space="preserve">Місце: </w:t>
            </w:r>
            <w:r>
              <w:rPr>
                <w:rFonts w:cs="Times New Roman" w:ascii="Times New Roman" w:hAnsi="Times New Roman"/>
                <w:color w:val="000000"/>
                <w:sz w:val="24"/>
                <w:szCs w:val="24"/>
                <w:shd w:fill="FFFFFF" w:val="clear"/>
                <w:lang w:eastAsia="uk-UA"/>
              </w:rPr>
              <w:t>13300, Житомирська обл., м. Бердичів, вул. Здоров'я,1</w:t>
            </w:r>
          </w:p>
          <w:p>
            <w:pPr>
              <w:pStyle w:val="Normal"/>
              <w:widowControl w:val="false"/>
              <w:spacing w:before="0" w:after="160"/>
              <w:ind w:right="120" w:hanging="0"/>
              <w:jc w:val="both"/>
              <w:rPr>
                <w:highlight w:val="white"/>
              </w:rPr>
            </w:pPr>
            <w:r>
              <w:rPr>
                <w:rFonts w:cs="Times New Roman" w:ascii="Times New Roman" w:hAnsi="Times New Roman"/>
                <w:sz w:val="24"/>
                <w:szCs w:val="24"/>
                <w:highlight w:val="white"/>
              </w:rPr>
              <w:t xml:space="preserve">Кількість: </w:t>
            </w:r>
            <w:r>
              <w:rPr>
                <w:rFonts w:cs="Times New Roman" w:ascii="Times New Roman" w:hAnsi="Times New Roman"/>
                <w:color w:val="000000"/>
                <w:sz w:val="24"/>
                <w:szCs w:val="24"/>
                <w:highlight w:val="white"/>
              </w:rPr>
              <w:t>відповідно до Додатку № 2 до тендерної документації.</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Fonts w:ascii="Times New Roman" w:hAnsi="Times New Roman"/>
                <w:sz w:val="24"/>
                <w:szCs w:val="24"/>
                <w:highlight w:val="white"/>
              </w:rPr>
              <w:t>До 31 грудня 2024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Недискримінація учасників</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крім:</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w:t>
            </w:r>
            <w:r>
              <w:rPr>
                <w:rFonts w:eastAsia="Times New Roman" w:cs="Times New Roman" w:ascii="Times New Roman" w:hAnsi="Times New Roman"/>
                <w:sz w:val="24"/>
                <w:szCs w:val="24"/>
              </w:rPr>
              <w:t xml:space="preserve"> ;</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ascii="Times New Roman" w:hAnsi="Times New Roman"/>
                <w:color w:val="333333"/>
                <w:sz w:val="24"/>
              </w:rPr>
              <w:t>юридичною особою, утвореною та зареєстрованою відповідно до законодавства Російської Федерації/Республіки Білорусь/Ісламської Республіки Іран</w:t>
            </w:r>
            <w:r>
              <w:rPr>
                <w:rFonts w:eastAsia="Times New Roman" w:cs="Times New Roman" w:ascii="Times New Roman" w:hAnsi="Times New Roman"/>
                <w:sz w:val="24"/>
                <w:szCs w:val="24"/>
              </w:rPr>
              <w:t>;</w:t>
            </w:r>
          </w:p>
          <w:p>
            <w:pPr>
              <w:pStyle w:val="Normal"/>
              <w:widowControl w:val="false"/>
              <w:spacing w:lineRule="auto" w:line="240" w:before="0" w:after="0"/>
              <w:ind w:right="140" w:hanging="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 </w:t>
            </w:r>
            <w:r>
              <w:rPr>
                <w:rFonts w:ascii="Times New Roman" w:hAnsi="Times New Roman"/>
                <w:color w:val="333333"/>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101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54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1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spacing w:before="0" w:after="0"/>
              <w:jc w:val="both"/>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технічну специфікацію та інші документи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spacing w:before="0" w:after="0"/>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before="0" w:after="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before="0" w:after="0"/>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Приклади формальних помилок: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before="0" w:after="0"/>
              <w:jc w:val="both"/>
              <w:rPr>
                <w:rFonts w:ascii="Times New Roman" w:hAnsi="Times New Roman" w:eastAsia="Times New Roman" w:cs="Times New Roman"/>
                <w:sz w:val="24"/>
                <w:szCs w:val="24"/>
              </w:rPr>
            </w:pPr>
            <w:bookmarkStart w:id="3" w:name="_heading=h.3znysh7"/>
            <w:bookmarkEnd w:id="3"/>
            <w:r>
              <w:rPr>
                <w:rFonts w:eastAsia="Times New Roman"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документи мають бути чіткими та розбірливими для читання;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Винятки: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before="0" w:after="0"/>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before="0" w:after="0"/>
              <w:ind w:left="40" w:hanging="20"/>
              <w:jc w:val="both"/>
              <w:rPr/>
            </w:pPr>
            <w:r>
              <w:rPr>
                <w:rFonts w:eastAsia="Times New Roman" w:cs="Times New Roman"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before="0" w:after="0"/>
              <w:jc w:val="both"/>
              <w:rPr>
                <w:rFonts w:ascii="Times New Roman" w:hAnsi="Times New Roman" w:eastAsia="Times New Roman" w:cs="Times New Roman"/>
                <w:sz w:val="24"/>
                <w:szCs w:val="24"/>
              </w:rPr>
            </w:pPr>
            <w:bookmarkStart w:id="4" w:name="_heading=h.2et92p0"/>
            <w:bookmarkEnd w:id="4"/>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before="0" w:after="0"/>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0"/>
              <w:jc w:val="both"/>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bookmarkStart w:id="7" w:name="_heading=h.tyjcwt"/>
            <w:bookmarkEnd w:id="7"/>
            <w:r>
              <w:rPr>
                <w:rFonts w:eastAsia="Times New Roman" w:cs="Times New Roman" w:ascii="Times New Roman" w:hAnsi="Times New Roman"/>
                <w:b/>
                <w:sz w:val="24"/>
                <w:szCs w:val="24"/>
              </w:rPr>
              <w:t>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before="0" w:after="0"/>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відхилити таку вимогу, не втрачаючи при цьому наданого ним забезпечення тендерної пропозиції;</w:t>
            </w:r>
          </w:p>
          <w:p>
            <w:pPr>
              <w:pStyle w:val="Normal"/>
              <w:widowControl w:val="false"/>
              <w:spacing w:before="0" w:after="0"/>
              <w:jc w:val="both"/>
              <w:rPr/>
            </w:pPr>
            <w:r>
              <w:rPr>
                <w:rFonts w:eastAsia="Times New Roman" w:cs="Times New Roman"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120" w:hanging="0"/>
              <w:jc w:val="both"/>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spacing w:before="0" w:after="0"/>
              <w:ind w:right="120" w:hanging="0"/>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0" w:after="0"/>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0"/>
              <w:jc w:val="both"/>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7">
              <w:r>
                <w:rPr>
                  <w:rFonts w:eastAsia="Times New Roman" w:cs="Times New Roman" w:ascii="Times New Roman" w:hAnsi="Times New Roman"/>
                  <w:sz w:val="24"/>
                  <w:szCs w:val="24"/>
                </w:rPr>
                <w:t xml:space="preserve"> пунктом третім </w:t>
              </w:r>
            </w:hyperlink>
            <w:hyperlink r:id="rId8">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101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left="40" w:right="120" w:hanging="0"/>
              <w:jc w:val="both"/>
              <w:rPr>
                <w:color w:val="000000"/>
              </w:rPr>
            </w:pPr>
            <w:r>
              <w:rPr>
                <w:rFonts w:eastAsia="Times New Roman" w:cs="Times New Roman" w:ascii="Times New Roman" w:hAnsi="Times New Roman"/>
                <w:color w:val="000000"/>
                <w:sz w:val="24"/>
                <w:szCs w:val="24"/>
                <w:highlight w:val="white"/>
              </w:rPr>
              <w:t>Кінцевий строк подання тендерних пропозицій —</w:t>
            </w:r>
          </w:p>
          <w:p>
            <w:pPr>
              <w:pStyle w:val="Normal"/>
              <w:widowControl w:val="false"/>
              <w:spacing w:before="0" w:after="0"/>
              <w:ind w:left="40" w:right="120" w:hanging="0"/>
              <w:jc w:val="both"/>
              <w:rPr>
                <w:color w:val="000000"/>
              </w:rPr>
            </w:pPr>
            <w:r>
              <w:rPr>
                <w:rFonts w:eastAsia="Times New Roman" w:cs="Times New Roman" w:ascii="Times New Roman" w:hAnsi="Times New Roman"/>
                <w:b/>
                <w:bCs/>
                <w:color w:val="000000"/>
                <w:sz w:val="24"/>
                <w:szCs w:val="24"/>
                <w:highlight w:val="white"/>
              </w:rPr>
              <w:t>2</w:t>
            </w:r>
            <w:r>
              <w:rPr>
                <w:rFonts w:eastAsia="Times New Roman" w:cs="Times New Roman" w:ascii="Times New Roman" w:hAnsi="Times New Roman"/>
                <w:b/>
                <w:bCs/>
                <w:color w:val="000000"/>
                <w:sz w:val="24"/>
                <w:szCs w:val="24"/>
                <w:highlight w:val="white"/>
              </w:rPr>
              <w:t>5</w:t>
            </w:r>
            <w:r>
              <w:rPr>
                <w:rFonts w:eastAsia="Times New Roman" w:cs="Times New Roman" w:ascii="Times New Roman" w:hAnsi="Times New Roman"/>
                <w:b/>
                <w:bCs/>
                <w:color w:val="000000"/>
                <w:sz w:val="24"/>
                <w:szCs w:val="24"/>
                <w:highlight w:val="white"/>
              </w:rPr>
              <w:t xml:space="preserve"> </w:t>
            </w:r>
            <w:r>
              <w:rPr>
                <w:rFonts w:eastAsia="Times New Roman" w:cs="Times New Roman" w:ascii="Times New Roman" w:hAnsi="Times New Roman"/>
                <w:b/>
                <w:bCs/>
                <w:color w:val="000000"/>
                <w:sz w:val="24"/>
                <w:szCs w:val="24"/>
                <w:highlight w:val="white"/>
              </w:rPr>
              <w:t>березня</w:t>
            </w:r>
            <w:r>
              <w:rPr>
                <w:rFonts w:eastAsia="Times New Roman" w:cs="Times New Roman" w:ascii="Times New Roman" w:hAnsi="Times New Roman"/>
                <w:b/>
                <w:color w:val="000000"/>
                <w:sz w:val="24"/>
                <w:szCs w:val="24"/>
                <w:shd w:fill="FFFFFF" w:val="clear"/>
              </w:rPr>
              <w:t xml:space="preserve"> 2024 року, 00:00 год.</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101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before="0" w:after="0"/>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jc w:val="both"/>
              <w:rPr/>
            </w:pPr>
            <w:r>
              <w:rPr>
                <w:rFonts w:eastAsia="Times New Roman" w:cs="Times New Roman" w:ascii="Times New Roman" w:hAnsi="Times New Roman"/>
                <w:sz w:val="24"/>
                <w:szCs w:val="24"/>
              </w:rPr>
              <w:t>До розгляду не приймається</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pStyle w:val="Normal"/>
              <w:widowControl w:val="false"/>
              <w:spacing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w:t>
            </w:r>
            <w:r>
              <w:rPr>
                <w:rFonts w:eastAsia="Times New Roman" w:cs="Times New Roman" w:ascii="Times New Roman" w:hAnsi="Times New Roman"/>
                <w:sz w:val="24"/>
                <w:szCs w:val="24"/>
                <w:lang w:val="ru-RU"/>
              </w:rPr>
              <w:t xml:space="preserve"> 0,5</w:t>
            </w:r>
            <w:r>
              <w:rPr>
                <w:rFonts w:eastAsia="Times New Roman" w:cs="Times New Roman" w:ascii="Times New Roman" w:hAnsi="Times New Roman"/>
                <w:sz w:val="24"/>
                <w:szCs w:val="24"/>
              </w:rPr>
              <w:t>%.</w:t>
            </w:r>
          </w:p>
          <w:p>
            <w:pPr>
              <w:pStyle w:val="Normal"/>
              <w:widowControl w:val="false"/>
              <w:shd w:val="clear" w:color="auto" w:fill="FFFFFF"/>
              <w:spacing w:before="0" w:after="0"/>
              <w:jc w:val="both"/>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Pr>
                <w:rFonts w:ascii="Times New Roman" w:hAnsi="Times New Roman"/>
                <w:color w:val="333333"/>
                <w:sz w:val="24"/>
              </w:rPr>
              <w:t>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є  </w:t>
            </w:r>
            <w:r>
              <w:rPr>
                <w:rFonts w:ascii="Times New Roman" w:hAnsi="Times New Roman"/>
                <w:color w:val="333333"/>
                <w:sz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sz w:val="24"/>
                <w:szCs w:val="24"/>
              </w:rPr>
              <w:t>;</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01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укладання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Проєкт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eastAsia="ar-SA"/>
              </w:rPr>
              <w:t>Дії замовника при відмові переможця процедури закупівлі підписати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firstLine="31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Якщо учасник-переможець відмовився від підписання договору, то повинен надати на фірмовому бланку Повідомлення про відмову від підписання договору з зазначенням предмета та номера ідентифікатора закупівлі, а також обґрунтування об’єктивних обставин.</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8" w:name="_heading=h.2s8eyo1"/>
      <w:bookmarkStart w:id="9" w:name="_heading=h.2s8eyo1"/>
      <w:bookmarkEnd w:id="9"/>
      <w:r>
        <w:br w:type="page"/>
      </w:r>
    </w:p>
    <w:p>
      <w:pPr>
        <w:pStyle w:val="Normal"/>
        <w:jc w:val="right"/>
        <w:rPr/>
      </w:pPr>
      <w:r>
        <w:rPr>
          <w:rFonts w:eastAsia="Times New Roman" w:cs="Times New Roman" w:ascii="Times New Roman" w:hAnsi="Times New Roman"/>
          <w:b/>
        </w:rPr>
        <w:t>ДОДАТОК 1</w:t>
      </w:r>
    </w:p>
    <w:p>
      <w:pPr>
        <w:pStyle w:val="Normal"/>
        <w:ind w:left="5660" w:firstLine="700"/>
        <w:jc w:val="right"/>
        <w:rPr/>
      </w:pPr>
      <w:r>
        <w:rPr>
          <w:rFonts w:eastAsia="Times New Roman" w:cs="Times New Roman" w:ascii="Times New Roman" w:hAnsi="Times New Roman"/>
          <w:i/>
        </w:rPr>
        <w:t>до тендерної документації</w:t>
      </w:r>
    </w:p>
    <w:p>
      <w:pPr>
        <w:pStyle w:val="Normal"/>
        <w:numPr>
          <w:ilvl w:val="0"/>
          <w:numId w:val="3"/>
        </w:numPr>
        <w:shd w:val="clear" w:color="auto" w:fill="FFFFFF"/>
        <w:ind w:left="502" w:hanging="360"/>
        <w:jc w:val="both"/>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ind w:left="8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260" w:type="dxa"/>
        <w:jc w:val="center"/>
        <w:tblInd w:w="0" w:type="dxa"/>
        <w:tblLayout w:type="fixed"/>
        <w:tblCellMar>
          <w:top w:w="100" w:type="dxa"/>
          <w:left w:w="100" w:type="dxa"/>
          <w:bottom w:w="100" w:type="dxa"/>
          <w:right w:w="100" w:type="dxa"/>
        </w:tblCellMar>
        <w:tblLook w:firstRow="0" w:noVBand="0" w:lastRow="0" w:firstColumn="0" w:lastColumn="0" w:noHBand="0" w:val="0000"/>
      </w:tblPr>
      <w:tblGrid>
        <w:gridCol w:w="493"/>
        <w:gridCol w:w="2270"/>
        <w:gridCol w:w="7497"/>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з/п</w:t>
            </w:r>
          </w:p>
        </w:tc>
        <w:tc>
          <w:tcPr>
            <w:tcW w:w="22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Кваліфікаційні критерії</w:t>
            </w:r>
          </w:p>
        </w:tc>
        <w:tc>
          <w:tcPr>
            <w:tcW w:w="749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Документи та інформація, які підтверджують відповідність Учасника кваліфікаційним критеріям**</w:t>
            </w:r>
          </w:p>
        </w:tc>
      </w:tr>
      <w:tr>
        <w:trPr>
          <w:trHeight w:val="295"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2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pPr>
            <w:r>
              <w:rPr>
                <w:rFonts w:eastAsia="Times New Roman" w:cs="Times New Roman"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8"/>
              </w:numPr>
              <w:suppressAutoHyphens w:val="false"/>
              <w:spacing w:lineRule="auto" w:line="276" w:before="0" w:after="200"/>
              <w:ind w:left="644" w:hanging="644"/>
              <w:contextualSpacing/>
              <w:rPr>
                <w:rFonts w:ascii="Times New Roman" w:hAnsi="Times New Roman" w:cs="Times New Roman"/>
                <w:spacing w:val="-4"/>
                <w:sz w:val="24"/>
                <w:szCs w:val="24"/>
                <w:lang w:eastAsia="uk-UA"/>
              </w:rPr>
            </w:pPr>
            <w:r>
              <w:rPr>
                <w:rFonts w:cs="Times New Roman" w:ascii="Times New Roman" w:hAnsi="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spacing w:lineRule="auto" w:line="276" w:before="0" w:after="200"/>
              <w:ind w:firstLine="284"/>
              <w:rPr>
                <w:rFonts w:ascii="Times New Roman" w:hAnsi="Times New Roman" w:cs="Times New Roman"/>
                <w:spacing w:val="-4"/>
                <w:sz w:val="24"/>
                <w:szCs w:val="24"/>
                <w:lang w:val="ru-RU" w:eastAsia="en-US"/>
              </w:rPr>
            </w:pPr>
            <w:r>
              <w:rPr>
                <w:rFonts w:cs="Times New Roman" w:ascii="Times New Roman" w:hAnsi="Times New Roman"/>
                <w:spacing w:val="-4"/>
                <w:sz w:val="24"/>
                <w:szCs w:val="24"/>
                <w:lang w:val="ru-RU" w:eastAsia="en-US"/>
              </w:rPr>
              <w:t xml:space="preserve">1.1. </w:t>
            </w:r>
            <w:r>
              <w:rPr>
                <w:rFonts w:cs="Times New Roman" w:ascii="Times New Roman" w:hAnsi="Times New Roman"/>
                <w:b/>
                <w:spacing w:val="-4"/>
                <w:sz w:val="24"/>
                <w:szCs w:val="24"/>
                <w:lang w:val="ru-RU" w:eastAsia="en-US"/>
              </w:rPr>
              <w:t>Довідку</w:t>
            </w:r>
            <w:r>
              <w:rPr>
                <w:rFonts w:cs="Times New Roman" w:ascii="Times New Roman" w:hAnsi="Times New Roman"/>
                <w:spacing w:val="-4"/>
                <w:sz w:val="24"/>
                <w:szCs w:val="24"/>
                <w:lang w:val="ru-RU" w:eastAsia="en-US"/>
              </w:rPr>
              <w:t xml:space="preserve"> </w:t>
            </w:r>
            <w:r>
              <w:rPr>
                <w:rFonts w:cs="Times New Roman" w:ascii="Times New Roman" w:hAnsi="Times New Roman"/>
                <w:i/>
                <w:spacing w:val="-4"/>
                <w:sz w:val="24"/>
                <w:szCs w:val="24"/>
                <w:lang w:val="ru-RU" w:eastAsia="en-US"/>
              </w:rPr>
              <w:t>(складена в довільній формі)</w:t>
            </w:r>
            <w:r>
              <w:rPr>
                <w:rFonts w:cs="Times New Roman" w:ascii="Times New Roman" w:hAnsi="Times New Roman"/>
                <w:spacing w:val="-4"/>
                <w:sz w:val="24"/>
                <w:szCs w:val="24"/>
                <w:lang w:val="ru-RU" w:eastAsia="en-US"/>
              </w:rPr>
              <w:t xml:space="preserve"> про наявність в учасника досвіду виконання аналогічного(их) за предметом закупівлі договору(ів) в період 2021-2023 років (із зазначенням предмета договору, номеру, дати укладання, адреси, контактного телефону, найменування замовника).</w:t>
            </w:r>
          </w:p>
          <w:p>
            <w:pPr>
              <w:pStyle w:val="Normal"/>
              <w:widowControl w:val="false"/>
              <w:suppressAutoHyphens w:val="false"/>
              <w:spacing w:lineRule="auto" w:line="276" w:before="0" w:after="200"/>
              <w:ind w:firstLine="284"/>
              <w:rPr>
                <w:rFonts w:ascii="Times New Roman" w:hAnsi="Times New Roman" w:cs="Times New Roman"/>
                <w:spacing w:val="-4"/>
                <w:sz w:val="24"/>
                <w:szCs w:val="24"/>
                <w:lang w:val="ru-RU" w:eastAsia="en-US"/>
              </w:rPr>
            </w:pPr>
            <w:r>
              <w:rPr>
                <w:rFonts w:cs="Times New Roman" w:ascii="Times New Roman" w:hAnsi="Times New Roman"/>
                <w:spacing w:val="-4"/>
                <w:sz w:val="24"/>
                <w:szCs w:val="24"/>
                <w:lang w:val="ru-RU" w:eastAsia="en-US"/>
              </w:rPr>
              <w:t xml:space="preserve">1.2. </w:t>
            </w:r>
            <w:r>
              <w:rPr>
                <w:rFonts w:cs="Times New Roman" w:ascii="Times New Roman" w:hAnsi="Times New Roman"/>
                <w:b/>
                <w:spacing w:val="-4"/>
                <w:sz w:val="24"/>
                <w:szCs w:val="24"/>
                <w:lang w:val="ru-RU" w:eastAsia="en-US"/>
              </w:rPr>
              <w:t>Аналогічний договір(и)</w:t>
            </w:r>
            <w:r>
              <w:rPr>
                <w:rFonts w:cs="Times New Roman" w:ascii="Times New Roman" w:hAnsi="Times New Roman"/>
                <w:spacing w:val="-4"/>
                <w:sz w:val="24"/>
                <w:szCs w:val="24"/>
                <w:lang w:val="ru-RU" w:eastAsia="en-US"/>
              </w:rPr>
              <w:t>* або витяг(и) з договору(ів)** - не менше 1 договору, зазначеного у довідці (п.1.1. цього розділу).</w:t>
            </w:r>
          </w:p>
          <w:p>
            <w:pPr>
              <w:pStyle w:val="Normal"/>
              <w:widowControl w:val="false"/>
              <w:suppressAutoHyphens w:val="false"/>
              <w:spacing w:lineRule="auto" w:line="276" w:before="0" w:after="200"/>
              <w:ind w:firstLine="284"/>
              <w:rPr>
                <w:rFonts w:ascii="Times New Roman" w:hAnsi="Times New Roman" w:cs="Times New Roman"/>
                <w:i/>
                <w:i/>
                <w:spacing w:val="-4"/>
                <w:sz w:val="24"/>
                <w:szCs w:val="24"/>
                <w:lang w:val="ru-RU" w:eastAsia="en-US"/>
              </w:rPr>
            </w:pPr>
            <w:r>
              <w:rPr>
                <w:rFonts w:cs="Times New Roman" w:ascii="Times New Roman" w:hAnsi="Times New Roman"/>
                <w:i/>
                <w:spacing w:val="-4"/>
                <w:sz w:val="24"/>
                <w:szCs w:val="24"/>
                <w:lang w:val="ru-RU" w:eastAsia="en-US"/>
              </w:rPr>
              <w:t>*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spacing w:lineRule="auto" w:line="276" w:before="0" w:after="200"/>
              <w:ind w:firstLine="284"/>
              <w:rPr>
                <w:rFonts w:ascii="Times New Roman" w:hAnsi="Times New Roman" w:cs="Times New Roman"/>
                <w:i/>
                <w:i/>
                <w:spacing w:val="-4"/>
                <w:sz w:val="24"/>
                <w:szCs w:val="24"/>
                <w:lang w:val="ru-RU" w:eastAsia="en-US"/>
              </w:rPr>
            </w:pPr>
            <w:r>
              <w:rPr>
                <w:rFonts w:cs="Times New Roman" w:ascii="Times New Roman" w:hAnsi="Times New Roman"/>
                <w:i/>
                <w:spacing w:val="-4"/>
                <w:sz w:val="24"/>
                <w:szCs w:val="24"/>
                <w:lang w:val="ru-RU" w:eastAsia="en-US"/>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pPr>
              <w:pStyle w:val="Normal"/>
              <w:widowControl w:val="false"/>
              <w:suppressAutoHyphens w:val="false"/>
              <w:spacing w:lineRule="auto" w:line="276" w:before="0" w:after="200"/>
              <w:ind w:firstLine="284"/>
              <w:rPr>
                <w:rFonts w:ascii="Times New Roman" w:hAnsi="Times New Roman" w:eastAsia="Times New Roman" w:cs="Times New Roman"/>
                <w:sz w:val="24"/>
                <w:szCs w:val="24"/>
              </w:rPr>
            </w:pPr>
            <w:r>
              <w:rPr>
                <w:rFonts w:cs="Times New Roman" w:ascii="Times New Roman" w:hAnsi="Times New Roman"/>
                <w:spacing w:val="-4"/>
                <w:sz w:val="24"/>
                <w:szCs w:val="24"/>
                <w:lang w:val="ru-RU" w:eastAsia="en-US"/>
              </w:rPr>
              <w:t xml:space="preserve">1.3. </w:t>
            </w:r>
            <w:r>
              <w:rPr>
                <w:rFonts w:cs="Times New Roman" w:ascii="Times New Roman" w:hAnsi="Times New Roman"/>
                <w:b/>
                <w:spacing w:val="-4"/>
                <w:sz w:val="24"/>
                <w:szCs w:val="24"/>
                <w:lang w:val="ru-RU" w:eastAsia="en-US"/>
              </w:rPr>
              <w:t>Лист-відгук</w:t>
            </w:r>
            <w:r>
              <w:rPr>
                <w:rFonts w:cs="Times New Roman" w:ascii="Times New Roman" w:hAnsi="Times New Roman"/>
                <w:spacing w:val="-4"/>
                <w:sz w:val="24"/>
                <w:szCs w:val="24"/>
                <w:lang w:val="ru-RU" w:eastAsia="en-US"/>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pPr>
        <w:pStyle w:val="Normal"/>
        <w:spacing w:before="240" w:after="0"/>
        <w:ind w:firstLine="720"/>
        <w:jc w:val="both"/>
        <w:rPr/>
      </w:pPr>
      <w:r>
        <w:rPr>
          <w:rFonts w:eastAsia="Times New Roman" w:cs="Times New Roman"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4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20" w:after="20"/>
        <w:jc w:val="both"/>
        <w:rPr/>
      </w:pPr>
      <w:r>
        <w:rPr>
          <w:rFonts w:eastAsia="Times New Roman" w:cs="Times New Roman"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ind w:firstLine="567"/>
        <w:jc w:val="both"/>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ind w:firstLine="567"/>
        <w:jc w:val="both"/>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0" w:after="120"/>
        <w:ind w:firstLine="567"/>
        <w:jc w:val="both"/>
        <w:rPr>
          <w:rFonts w:ascii="Times New Roman" w:hAnsi="Times New Roman"/>
          <w:b/>
          <w:b/>
          <w:color w:val="000000"/>
          <w:u w:val="single"/>
        </w:rPr>
      </w:pPr>
      <w:r>
        <w:rPr>
          <w:rFonts w:eastAsia="Times New Roman" w:cs="Times New Roman" w:ascii="Times New Roman" w:hAnsi="Times New Roman"/>
          <w:b/>
          <w:i/>
          <w:color w:val="000000"/>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ind w:firstLine="567"/>
        <w:jc w:val="both"/>
        <w:rPr/>
      </w:pPr>
      <w:r>
        <w:rPr>
          <w:rFonts w:eastAsia="Times New Roman" w:cs="Times New Roman" w:ascii="Times New Roman" w:hAnsi="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pPr>
      <w:r>
        <w:rPr>
          <w:rFonts w:eastAsia="Times New Roman" w:cs="Times New Roman" w:ascii="Times New Roman" w:hAnsi="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eastAsia="Times New Roman" w:cs="Times New Roman" w:ascii="Times New Roman" w:hAnsi="Times New Roman"/>
          <w:sz w:val="24"/>
          <w:szCs w:val="24"/>
        </w:rPr>
        <w:t>47</w:t>
      </w:r>
      <w:r>
        <w:rPr>
          <w:rFonts w:eastAsia="Times New Roman" w:cs="Times New Roman" w:ascii="Times New Roman" w:hAnsi="Times New Roman"/>
          <w:b/>
          <w:sz w:val="24"/>
          <w:szCs w:val="24"/>
        </w:rPr>
        <w:t xml:space="preserve"> Особливостей:</w:t>
      </w:r>
    </w:p>
    <w:p>
      <w:pPr>
        <w:pStyle w:val="Normal"/>
        <w:ind w:firstLine="567"/>
        <w:jc w:val="both"/>
        <w:rPr/>
      </w:pPr>
      <w:r>
        <w:rPr>
          <w:rFonts w:eastAsia="Times New Roman" w:cs="Times New Roman" w:ascii="Times New Roman" w:hAnsi="Times New Roman"/>
          <w:sz w:val="24"/>
          <w:szCs w:val="24"/>
        </w:rPr>
        <w:t xml:space="preserve">Переможець процедури закупівлі у строк, що </w:t>
      </w:r>
      <w:r>
        <w:rPr>
          <w:rFonts w:eastAsia="Times New Roman" w:cs="Times New Roman" w:ascii="Times New Roman" w:hAnsi="Times New Roman"/>
          <w:b/>
          <w:i/>
          <w:sz w:val="24"/>
          <w:szCs w:val="24"/>
        </w:rPr>
        <w:t xml:space="preserve">не перевищує чотири дні </w:t>
      </w:r>
      <w:r>
        <w:rPr>
          <w:rFonts w:eastAsia="Times New Roman" w:cs="Times New Roman"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10432"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8"/>
        <w:gridCol w:w="5186"/>
        <w:gridCol w:w="4648"/>
      </w:tblGrid>
      <w:tr>
        <w:trPr>
          <w:trHeight w:val="1005"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160"/>
              <w:ind w:right="140" w:hanging="0"/>
              <w:jc w:val="both"/>
              <w:rPr>
                <w:b/>
                <w:b/>
              </w:rPr>
            </w:pPr>
            <w:r>
              <w:rPr>
                <w:rFonts w:eastAsia="Times New Roman" w:cs="Times New Roman" w:ascii="Times New Roman" w:hAnsi="Times New Roman"/>
                <w:b/>
                <w:sz w:val="24"/>
                <w:szCs w:val="24"/>
              </w:rPr>
              <w:t>(підпункт 6 пункт 47 Особливостей)</w:t>
            </w:r>
          </w:p>
        </w:tc>
        <w:tc>
          <w:tcPr>
            <w:tcW w:w="4648" w:type="dxa"/>
            <w:vMerge w:val="restart"/>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2535"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648" w:type="dxa"/>
            <w:vMerge w:val="continue"/>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before="0" w:after="160"/>
              <w:rPr/>
            </w:pPr>
            <w:r>
              <w:rPr/>
            </w:r>
          </w:p>
        </w:tc>
      </w:tr>
      <w:tr>
        <w:trPr>
          <w:trHeight w:val="862"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518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648"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240" w:after="0"/>
        <w:jc w:val="center"/>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10432"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8"/>
        <w:gridCol w:w="4538"/>
        <w:gridCol w:w="5296"/>
      </w:tblGrid>
      <w:tr>
        <w:trPr>
          <w:trHeight w:val="825"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52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pPr>
            <w:r>
              <w:rPr>
                <w:rFonts w:eastAsia="Times New Roman" w:cs="Times New Roman" w:ascii="Times New Roman" w:hAnsi="Times New Roman"/>
                <w:b/>
                <w:sz w:val="24"/>
                <w:szCs w:val="24"/>
              </w:rPr>
              <w:t>(підпункт 5 пункт 47 Особливостей)</w:t>
            </w:r>
          </w:p>
        </w:tc>
        <w:tc>
          <w:tcPr>
            <w:tcW w:w="5296" w:type="dxa"/>
            <w:vMerge w:val="restart"/>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1635"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5296" w:type="dxa"/>
            <w:vMerge w:val="continue"/>
            <w:tcBorders>
              <w:top w:val="single" w:sz="8" w:space="0" w:color="000000"/>
              <w:left w:val="single" w:sz="8" w:space="0" w:color="000000"/>
              <w:bottom w:val="single" w:sz="4" w:space="0" w:color="000000"/>
              <w:right w:val="single" w:sz="8" w:space="0" w:color="000000"/>
            </w:tcBorders>
            <w:shd w:color="auto" w:fill="auto" w:val="clear"/>
          </w:tcPr>
          <w:p>
            <w:pPr>
              <w:pStyle w:val="Normal"/>
              <w:widowControl w:val="false"/>
              <w:spacing w:before="0" w:after="160"/>
              <w:rPr/>
            </w:pPr>
            <w:r>
              <w:rPr/>
            </w:r>
          </w:p>
        </w:tc>
      </w:tr>
      <w:tr>
        <w:trPr>
          <w:trHeight w:val="25" w:hRule="atLeast"/>
        </w:trPr>
        <w:tc>
          <w:tcPr>
            <w:tcW w:w="5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53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5296"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32"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411"/>
        <w:gridCol w:w="10020"/>
      </w:tblGrid>
      <w:tr>
        <w:trPr>
          <w:trHeight w:val="124" w:hRule="atLeast"/>
        </w:trPr>
        <w:tc>
          <w:tcPr>
            <w:tcW w:w="10431"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1</w:t>
            </w:r>
          </w:p>
        </w:tc>
        <w:tc>
          <w:tcPr>
            <w:tcW w:w="100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Довідка, яка містить відомості про учасника:</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Повна назва учасника 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Юридична адреса 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Поштова адреса _____________________________________________________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Код ЄДРПОУ _______________________________________________________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П.І.Б. керівника або службової (посадової) особи учасника процедури закупівлі, уповноваженої на підпис тендерної пропозиції на закупівлю, та документів за результатами процедури закупівлі _________</w:t>
            </w:r>
          </w:p>
          <w:p>
            <w:pPr>
              <w:pStyle w:val="Normal"/>
              <w:widowControl w:val="false"/>
              <w:suppressAutoHyphens w:val="false"/>
              <w:spacing w:lineRule="auto" w:line="240" w:before="0" w:after="0"/>
              <w:rPr>
                <w:rFonts w:ascii="Times New Roman" w:hAnsi="Times New Roman" w:eastAsia="Times New Roman" w:cs="Times New Roman"/>
                <w:lang w:val="ru-RU"/>
              </w:rPr>
            </w:pPr>
            <w:r>
              <w:rPr>
                <w:rFonts w:eastAsia="Times New Roman" w:cs="Times New Roman" w:ascii="Times New Roman" w:hAnsi="Times New Roman"/>
                <w:lang w:val="ru-RU"/>
              </w:rPr>
              <w:t>Телефон _________________________________________________</w:t>
            </w:r>
          </w:p>
          <w:p>
            <w:pPr>
              <w:pStyle w:val="Normal"/>
              <w:widowControl w:val="false"/>
              <w:suppressAutoHyphens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lang w:val="ru-RU"/>
              </w:rPr>
              <w:t>Інформація про реквізити банківського рахунку, на який буде здійснюватися оплата за договором</w:t>
            </w:r>
            <w:r>
              <w:rPr>
                <w:rFonts w:eastAsia="Times New Roman" w:cs="Times New Roman" w:ascii="Times New Roman" w:hAnsi="Times New Roman"/>
                <w:sz w:val="27"/>
                <w:szCs w:val="27"/>
                <w:lang w:val="ru-RU"/>
              </w:rPr>
              <w:t xml:space="preserve"> ____</w:t>
            </w:r>
          </w:p>
        </w:tc>
      </w:tr>
      <w:tr>
        <w:trPr>
          <w:trHeight w:val="807"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lang w:val="ru-RU"/>
              </w:rPr>
            </w:pPr>
            <w:r>
              <w:rPr>
                <w:rFonts w:eastAsia="Times New Roman" w:cs="Times New Roman" w:ascii="Times New Roman" w:hAnsi="Times New Roman"/>
                <w:b/>
                <w:sz w:val="24"/>
                <w:szCs w:val="24"/>
                <w:lang w:val="ru-RU"/>
              </w:rPr>
              <w:t>2</w:t>
            </w:r>
          </w:p>
        </w:tc>
        <w:tc>
          <w:tcPr>
            <w:tcW w:w="100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both"/>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3</w:t>
            </w:r>
          </w:p>
        </w:tc>
        <w:tc>
          <w:tcPr>
            <w:tcW w:w="100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right="120" w:hanging="20"/>
              <w:jc w:val="both"/>
              <w:rPr>
                <w:sz w:val="24"/>
                <w:szCs w:val="24"/>
              </w:rPr>
            </w:pPr>
            <w:r>
              <w:rPr>
                <w:rFonts w:eastAsia="Times New Roman" w:cs="Times New Roman" w:ascii="Times New Roman" w:hAnsi="Times New Roman"/>
                <w:sz w:val="24"/>
                <w:szCs w:val="24"/>
                <w:shd w:fill="FFFFFF" w:val="clear"/>
              </w:rPr>
              <w:t>Завірена копія діючої ліцензії та/або  діючого дозволу (-ів) та/або декларації (-ій) на право займатися відповідною діяльністю (у випадку, якщо надання таких документів передбачено законодавством).</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4</w:t>
            </w:r>
          </w:p>
        </w:tc>
        <w:tc>
          <w:tcPr>
            <w:tcW w:w="100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color w:val="000000"/>
              </w:rPr>
            </w:pPr>
            <w:r>
              <w:rPr>
                <w:rFonts w:eastAsia="Times New Roman" w:cs="Times New Roman" w:ascii="Times New Roman" w:hAnsi="Times New Roman"/>
                <w:b/>
                <w:color w:val="000000"/>
                <w:sz w:val="24"/>
                <w:szCs w:val="24"/>
                <w:lang w:eastAsia="en-US"/>
              </w:rPr>
              <w:t>Довідка</w:t>
            </w:r>
            <w:r>
              <w:rPr>
                <w:rFonts w:eastAsia="Times New Roman" w:cs="Times New Roman" w:ascii="Times New Roman" w:hAnsi="Times New Roman"/>
                <w:color w:val="000000"/>
                <w:sz w:val="24"/>
                <w:szCs w:val="24"/>
                <w:lang w:eastAsia="en-US"/>
              </w:rPr>
              <w:t xml:space="preserve">, складена </w:t>
            </w:r>
            <w:r>
              <w:rPr>
                <w:rFonts w:eastAsia="Times New Roman" w:cs="Times New Roman" w:ascii="Times New Roman" w:hAnsi="Times New Roman"/>
                <w:b/>
                <w:color w:val="000000"/>
                <w:sz w:val="24"/>
                <w:szCs w:val="24"/>
                <w:lang w:eastAsia="en-US"/>
              </w:rPr>
              <w:t>в довільній формі</w:t>
            </w:r>
            <w:r>
              <w:rPr>
                <w:rFonts w:eastAsia="Times New Roman" w:cs="Times New Roman" w:ascii="Times New Roman" w:hAnsi="Times New Roman"/>
                <w:color w:val="000000"/>
                <w:sz w:val="24"/>
                <w:szCs w:val="24"/>
                <w:lang w:eastAsia="en-US"/>
              </w:rPr>
              <w:t xml:space="preserve">, яка містить інформацію про засновника та </w:t>
            </w:r>
            <w:r>
              <w:rPr>
                <w:rFonts w:eastAsia="Times New Roman" w:cs="Times New Roman" w:ascii="Times New Roman" w:hAnsi="Times New Roman"/>
                <w:b/>
                <w:color w:val="000000"/>
                <w:sz w:val="24"/>
                <w:szCs w:val="24"/>
                <w:lang w:eastAsia="en-US"/>
              </w:rPr>
              <w:t>кінцевого бенефіціарного власника</w:t>
            </w:r>
            <w:r>
              <w:rPr>
                <w:rFonts w:eastAsia="Times New Roman" w:cs="Times New Roman" w:ascii="Times New Roman" w:hAnsi="Times New Roman"/>
                <w:color w:val="000000"/>
                <w:sz w:val="24"/>
                <w:szCs w:val="24"/>
                <w:lang w:eastAsia="en-US"/>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widowControl w:val="false"/>
              <w:jc w:val="both"/>
              <w:rPr/>
            </w:pPr>
            <w:r>
              <w:rPr>
                <w:rFonts w:eastAsia="Times New Roman" w:cs="Times New Roman" w:ascii="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cs="Times New Roman" w:ascii="Times New Roman" w:hAnsi="Times New Roman"/>
                <w:color w:val="333333"/>
                <w:sz w:val="24"/>
                <w:szCs w:val="24"/>
              </w:rPr>
              <w:t>Ісламської Республіки Іран</w:t>
            </w:r>
            <w:r>
              <w:rPr>
                <w:rFonts w:eastAsia="Times New Roman" w:cs="Times New Roman"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4"/>
              </w:numPr>
              <w:spacing w:before="0" w:after="0"/>
              <w:ind w:left="283" w:hanging="283"/>
              <w:jc w:val="both"/>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5"/>
              </w:numPr>
              <w:spacing w:before="0" w:after="0"/>
              <w:ind w:left="283" w:hanging="283"/>
              <w:jc w:val="both"/>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2"/>
              </w:numPr>
              <w:spacing w:before="0" w:after="0"/>
              <w:ind w:left="283" w:hanging="283"/>
              <w:jc w:val="both"/>
              <w:rPr/>
            </w:pPr>
            <w:r>
              <w:rPr>
                <w:rFonts w:eastAsia="Times New Roman" w:cs="Times New Roman" w:ascii="Times New Roman" w:hAnsi="Times New Roman"/>
                <w:sz w:val="24"/>
                <w:szCs w:val="24"/>
              </w:rPr>
              <w:t>-   посвідчення особи, яка потребує додаткового захисту в Україні,</w:t>
            </w:r>
          </w:p>
          <w:p>
            <w:pPr>
              <w:pStyle w:val="Normal"/>
              <w:widowControl w:val="false"/>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6"/>
              </w:numPr>
              <w:shd w:val="clear" w:color="auto" w:fill="FFFFFF"/>
              <w:spacing w:before="0" w:after="0"/>
              <w:ind w:left="283" w:hanging="283"/>
              <w:jc w:val="both"/>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spacing w:before="0" w:after="0"/>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7"/>
              </w:numPr>
              <w:spacing w:before="0" w:after="160"/>
              <w:ind w:left="283" w:hanging="283"/>
              <w:jc w:val="both"/>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5</w:t>
            </w:r>
          </w:p>
        </w:tc>
        <w:tc>
          <w:tcPr>
            <w:tcW w:w="100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40" w:right="140" w:hanging="0"/>
              <w:jc w:val="both"/>
              <w:rPr/>
            </w:pPr>
            <w:r>
              <w:rPr>
                <w:rFonts w:eastAsia="Times New Roman" w:cs="Times New Roman" w:ascii="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eastAsia="Times New Roman" w:cs="Times New Roman" w:ascii="Times New Roman" w:hAnsi="Times New Roman"/>
                  <w:sz w:val="24"/>
                  <w:szCs w:val="24"/>
                </w:rPr>
                <w:t>Наказом № 794/21</w:t>
              </w:r>
            </w:hyperlink>
            <w:r>
              <w:rPr>
                <w:rFonts w:eastAsia="Times New Roman" w:cs="Times New Roman" w:ascii="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trPr>
          <w:trHeight w:val="580" w:hRule="atLeast"/>
        </w:trPr>
        <w:tc>
          <w:tcPr>
            <w:tcW w:w="41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lang w:val="ru-RU"/>
              </w:rPr>
            </w:pPr>
            <w:r>
              <w:rPr>
                <w:rFonts w:eastAsia="Times New Roman" w:cs="Times New Roman" w:ascii="Times New Roman" w:hAnsi="Times New Roman"/>
                <w:b/>
                <w:sz w:val="24"/>
                <w:szCs w:val="24"/>
                <w:lang w:val="ru-RU"/>
              </w:rPr>
              <w:t>6</w:t>
            </w:r>
          </w:p>
        </w:tc>
        <w:tc>
          <w:tcPr>
            <w:tcW w:w="100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firstLine="281"/>
              <w:jc w:val="both"/>
              <w:rPr/>
            </w:pPr>
            <w:r>
              <w:rPr>
                <w:rFonts w:eastAsia="Times New Roman" w:cs="Times New Roman"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керівника учасника</w:t>
            </w:r>
            <w:r>
              <w:rPr>
                <w:rFonts w:eastAsia="Times New Roman" w:cs="Times New Roman" w:ascii="Times New Roman" w:hAnsi="Times New Roman"/>
                <w:sz w:val="24"/>
                <w:szCs w:val="24"/>
              </w:rPr>
              <w:t xml:space="preserve"> – виписка з протоколу зборів засновників або копія протоколу зборів засновників, копія наказу про призначення, </w:t>
            </w:r>
            <w:r>
              <w:rPr>
                <w:rFonts w:eastAsia="Times New Roman" w:cs="Times New Roman" w:ascii="Times New Roman" w:hAnsi="Times New Roman"/>
                <w:sz w:val="24"/>
                <w:szCs w:val="24"/>
                <w:shd w:fill="FFFFFF" w:val="clear"/>
              </w:rPr>
              <w:t>та</w:t>
            </w:r>
            <w:r>
              <w:rPr>
                <w:rFonts w:eastAsia="Times New Roman" w:cs="Times New Roman" w:ascii="Times New Roman" w:hAnsi="Times New Roman"/>
                <w:sz w:val="24"/>
                <w:szCs w:val="24"/>
              </w:rPr>
              <w:t>/або інший документ, що підтверджує повноваження керівника учасника;</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іншої посадової особи учасника</w:t>
            </w:r>
            <w:r>
              <w:rPr>
                <w:rFonts w:eastAsia="Times New Roman" w:cs="Times New Roman"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pPr>
              <w:pStyle w:val="Normal"/>
              <w:widowControl w:val="false"/>
              <w:ind w:firstLine="282"/>
              <w:jc w:val="both"/>
              <w:rPr>
                <w:color w:val="000000"/>
              </w:rPr>
            </w:pPr>
            <w:r>
              <w:rPr>
                <w:rFonts w:cs="Times New Roman" w:ascii="Times New Roman" w:hAnsi="Times New Roman"/>
                <w:iCs/>
                <w:sz w:val="24"/>
                <w:szCs w:val="24"/>
              </w:rPr>
              <w:t xml:space="preserve"> </w:t>
            </w:r>
            <w:r>
              <w:rPr>
                <w:rFonts w:cs="Times New Roman" w:ascii="Times New Roman" w:hAnsi="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Pr>
                <w:rFonts w:cs="Times New Roman" w:ascii="Times New Roman" w:hAnsi="Times New Roman"/>
                <w:iCs/>
                <w:sz w:val="24"/>
                <w:szCs w:val="24"/>
              </w:rPr>
              <w:t xml:space="preserve">,  </w:t>
            </w:r>
            <w:r>
              <w:rPr>
                <w:rFonts w:cs="Times New Roman" w:ascii="Times New Roman" w:hAnsi="Times New Roman"/>
                <w:bCs/>
                <w:sz w:val="24"/>
                <w:szCs w:val="24"/>
              </w:rPr>
              <w:t>такий учасник додатково додає:</w:t>
            </w:r>
          </w:p>
          <w:p>
            <w:pPr>
              <w:pStyle w:val="Normal"/>
              <w:widowControl w:val="false"/>
              <w:jc w:val="both"/>
              <w:rPr>
                <w:color w:val="000000"/>
              </w:rPr>
            </w:pPr>
            <w:r>
              <w:rPr>
                <w:rFonts w:cs="Times New Roman" w:ascii="Times New Roman" w:hAnsi="Times New Roman"/>
                <w:color w:val="000000"/>
                <w:sz w:val="24"/>
                <w:szCs w:val="24"/>
              </w:rPr>
              <w:t>- Копія Статуту та/або копія рішення загальних зборів учасників товариства (рішення власника) про дозвіл укладання Договору за результатами закупівлі;</w:t>
            </w:r>
          </w:p>
          <w:p>
            <w:pPr>
              <w:pStyle w:val="Normal"/>
              <w:widowControl w:val="false"/>
              <w:ind w:right="147" w:hanging="0"/>
              <w:jc w:val="both"/>
              <w:textAlignment w:val="baseline"/>
              <w:rPr>
                <w:color w:val="000000"/>
              </w:rPr>
            </w:pPr>
            <w:r>
              <w:rPr>
                <w:rFonts w:cs="Times New Roman" w:ascii="Times New Roman" w:hAnsi="Times New Roman"/>
                <w:color w:val="000000"/>
                <w:sz w:val="24"/>
                <w:szCs w:val="24"/>
              </w:rPr>
              <w:t xml:space="preserve">- Копія Балансу за останній звітний період, а саме </w:t>
            </w:r>
            <w:r>
              <w:rPr>
                <w:rFonts w:cs="Times New Roman" w:ascii="Times New Roman" w:hAnsi="Times New Roman"/>
                <w:color w:val="000000"/>
                <w:sz w:val="24"/>
                <w:szCs w:val="24"/>
                <w:shd w:fill="FFFFFF" w:val="clear"/>
              </w:rPr>
              <w:t xml:space="preserve">за </w:t>
            </w:r>
            <w:r>
              <w:rPr>
                <w:rFonts w:cs="Times New Roman" w:ascii="Times New Roman" w:hAnsi="Times New Roman"/>
                <w:color w:val="000000"/>
                <w:sz w:val="24"/>
                <w:szCs w:val="24"/>
              </w:rPr>
              <w:t>202</w:t>
            </w:r>
            <w:r>
              <w:rPr>
                <w:rFonts w:cs="Times New Roman" w:ascii="Times New Roman" w:hAnsi="Times New Roman"/>
                <w:color w:val="000000"/>
                <w:sz w:val="24"/>
                <w:szCs w:val="24"/>
                <w:lang w:val="ru-RU"/>
              </w:rPr>
              <w:t>3</w:t>
            </w:r>
            <w:r>
              <w:rPr>
                <w:rFonts w:cs="Times New Roman" w:ascii="Times New Roman" w:hAnsi="Times New Roman"/>
                <w:color w:val="000000"/>
                <w:sz w:val="24"/>
                <w:szCs w:val="24"/>
              </w:rPr>
              <w:t xml:space="preserve"> рік  (Форма №1 «Баланс»**) з відміткою органу статистики або з підтверджуючими документами про передачу та прийняття електронної звітності</w:t>
            </w:r>
            <w:r>
              <w:rPr>
                <w:rFonts w:eastAsia="Times New Roman" w:cs="Times New Roman" w:ascii="Times New Roman" w:hAnsi="Times New Roman"/>
                <w:color w:val="000000"/>
                <w:sz w:val="24"/>
                <w:szCs w:val="24"/>
              </w:rPr>
              <w:t xml:space="preserve"> засобами зв’язку;</w:t>
            </w:r>
          </w:p>
          <w:p>
            <w:pPr>
              <w:pStyle w:val="Normal"/>
              <w:widowControl w:val="false"/>
              <w:ind w:right="147" w:hanging="0"/>
              <w:jc w:val="both"/>
              <w:textAlignment w:val="baseline"/>
              <w:rPr>
                <w:color w:val="000000"/>
              </w:rPr>
            </w:pPr>
            <w:r>
              <w:rPr>
                <w:rFonts w:eastAsia="Times New Roman" w:cs="Times New Roman" w:ascii="Times New Roman" w:hAnsi="Times New Roman"/>
                <w:color w:val="000000"/>
                <w:sz w:val="24"/>
                <w:szCs w:val="24"/>
              </w:rPr>
              <w:t xml:space="preserve">- Копія звіту про фінансові результати учасника за останній звітний період, а саме </w:t>
            </w:r>
            <w:r>
              <w:rPr>
                <w:rFonts w:eastAsia="Times New Roman" w:cs="Times New Roman" w:ascii="Times New Roman" w:hAnsi="Times New Roman"/>
                <w:color w:val="000000"/>
                <w:sz w:val="24"/>
                <w:szCs w:val="24"/>
                <w:shd w:fill="FFFFFF" w:val="clear"/>
              </w:rPr>
              <w:t>за</w:t>
            </w:r>
            <w:r>
              <w:rPr>
                <w:rFonts w:eastAsia="Times New Roman" w:cs="Times New Roman" w:ascii="Times New Roman" w:hAnsi="Times New Roman"/>
                <w:color w:val="000000"/>
                <w:sz w:val="24"/>
                <w:szCs w:val="24"/>
              </w:rPr>
              <w:t xml:space="preserve"> 202</w:t>
            </w:r>
            <w:r>
              <w:rPr>
                <w:rFonts w:eastAsia="Times New Roman" w:cs="Times New Roman" w:ascii="Times New Roman" w:hAnsi="Times New Roman"/>
                <w:color w:val="000000"/>
                <w:sz w:val="24"/>
                <w:szCs w:val="24"/>
                <w:lang w:val="ru-RU"/>
              </w:rPr>
              <w:t>3</w:t>
            </w:r>
            <w:r>
              <w:rPr>
                <w:rFonts w:eastAsia="Times New Roman" w:cs="Times New Roman" w:ascii="Times New Roman" w:hAnsi="Times New Roman"/>
                <w:color w:val="000000"/>
                <w:sz w:val="24"/>
                <w:szCs w:val="24"/>
              </w:rPr>
              <w:t xml:space="preserve"> рік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ind w:right="147" w:hanging="0"/>
              <w:jc w:val="both"/>
              <w:textAlignment w:val="baseline"/>
              <w:rPr/>
            </w:pPr>
            <w:r>
              <w:rPr>
                <w:rFonts w:eastAsia="Times New Roman" w:cs="Times New Roman" w:ascii="Times New Roman" w:hAnsi="Times New Roman"/>
                <w:color w:val="000000"/>
                <w:sz w:val="24"/>
                <w:szCs w:val="24"/>
              </w:rPr>
              <w:t xml:space="preserve">- Копія звіту про рух грошових коштів учасника, а саме </w:t>
            </w:r>
            <w:r>
              <w:rPr>
                <w:rFonts w:eastAsia="Times New Roman" w:cs="Times New Roman" w:ascii="Times New Roman" w:hAnsi="Times New Roman"/>
                <w:color w:val="000000"/>
                <w:sz w:val="24"/>
                <w:szCs w:val="24"/>
                <w:shd w:fill="FFFFFF" w:val="clear"/>
              </w:rPr>
              <w:t>за</w:t>
            </w:r>
            <w:r>
              <w:rPr>
                <w:rFonts w:eastAsia="Times New Roman" w:cs="Times New Roman" w:ascii="Times New Roman" w:hAnsi="Times New Roman"/>
                <w:color w:val="000000"/>
                <w:sz w:val="24"/>
                <w:szCs w:val="24"/>
              </w:rPr>
              <w:t xml:space="preserve"> 2023 рік (форма Ф-3 «Звіт про рух грошових коштів»**) з відміткою органу статистики або з підтверджуюч</w:t>
            </w:r>
            <w:r>
              <w:rPr>
                <w:rFonts w:eastAsia="Times New Roman" w:cs="Times New Roman" w:ascii="Times New Roman" w:hAnsi="Times New Roman"/>
                <w:sz w:val="24"/>
                <w:szCs w:val="24"/>
              </w:rPr>
              <w:t>ими документами про передачу та прийняття електронної звітності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pPr>
              <w:pStyle w:val="Normal"/>
              <w:widowControl w:val="false"/>
              <w:spacing w:before="0" w:after="160"/>
              <w:ind w:right="147" w:hanging="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Якщо учасник суб’єкт малого підприємництва, то у складі пропозиції подається: Форма №1-м та Форма №2-м.</w:t>
            </w:r>
          </w:p>
        </w:tc>
      </w:tr>
    </w:tbl>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lang w:val="ru-RU"/>
        </w:rPr>
      </w:pPr>
      <w:r>
        <w:rPr>
          <w:rFonts w:eastAsia="Times New Roman" w:cs="Times New Roman" w:ascii="Times New Roman" w:hAnsi="Times New Roman"/>
          <w:b/>
          <w:lang w:val="ru-RU"/>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right"/>
        <w:rPr/>
      </w:pPr>
      <w:r>
        <w:rPr>
          <w:rFonts w:eastAsia="Times New Roman" w:cs="Times New Roman" w:ascii="Times New Roman" w:hAnsi="Times New Roman"/>
          <w:b/>
        </w:rPr>
        <w:t xml:space="preserve">ДОДАТОК </w:t>
      </w:r>
      <w:r>
        <w:rPr>
          <w:rFonts w:eastAsia="Times New Roman" w:cs="Times New Roman" w:ascii="Times New Roman" w:hAnsi="Times New Roman"/>
          <w:b/>
          <w:lang w:val="ru-RU"/>
        </w:rPr>
        <w:t>2</w:t>
      </w:r>
    </w:p>
    <w:p>
      <w:pPr>
        <w:pStyle w:val="Normal"/>
        <w:spacing w:lineRule="auto" w:line="240" w:before="0" w:after="0"/>
        <w:ind w:left="5660" w:firstLine="700"/>
        <w:jc w:val="right"/>
        <w:rPr/>
      </w:pPr>
      <w:r>
        <w:rPr>
          <w:rFonts w:eastAsia="Times New Roman" w:cs="Times New Roman" w:ascii="Times New Roman" w:hAnsi="Times New Roman"/>
          <w:i/>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0" w:after="0"/>
        <w:jc w:val="center"/>
        <w:rPr>
          <w:b/>
          <w:b/>
          <w:bCs/>
        </w:rPr>
      </w:pPr>
      <w:r>
        <w:rPr>
          <w:rFonts w:eastAsia="Times New Roman" w:cs="Times New Roman" w:ascii="Times New Roman" w:hAnsi="Times New Roman"/>
          <w:b/>
          <w:bCs/>
        </w:rPr>
        <w:t>ТЕХНІЧНА СПЕЦИФІКАЦІЯ</w:t>
      </w:r>
    </w:p>
    <w:p>
      <w:pPr>
        <w:pStyle w:val="Normal"/>
        <w:spacing w:lineRule="auto" w:line="240" w:before="0" w:after="0"/>
        <w:ind w:left="5660" w:firstLine="700"/>
        <w:jc w:val="right"/>
        <w:rPr>
          <w:rFonts w:ascii="Times New Roman" w:hAnsi="Times New Roman" w:eastAsia="Times New Roman" w:cs="Times New Roman"/>
          <w:i/>
          <w:i/>
        </w:rPr>
      </w:pPr>
      <w:r>
        <w:rPr>
          <w:rFonts w:eastAsia="Times New Roman" w:cs="Times New Roman" w:ascii="Times New Roman" w:hAnsi="Times New Roman"/>
          <w:i/>
        </w:rPr>
      </w:r>
    </w:p>
    <w:p>
      <w:pPr>
        <w:pStyle w:val="TableParagraph"/>
        <w:ind w:left="182" w:right="171" w:hanging="0"/>
        <w:jc w:val="center"/>
        <w:rPr/>
      </w:pPr>
      <w:bookmarkStart w:id="10" w:name="_GoBack1"/>
      <w:bookmarkEnd w:id="10"/>
      <w:r>
        <w:rPr>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0"/>
          <w:szCs w:val="20"/>
          <w:lang w:eastAsia="uk-UA"/>
        </w:rPr>
        <w:t> </w:t>
      </w:r>
    </w:p>
    <w:p>
      <w:pPr>
        <w:pStyle w:val="TableParagraph"/>
        <w:ind w:left="182" w:right="171" w:hanging="0"/>
        <w:jc w:val="center"/>
        <w:rPr/>
      </w:pPr>
      <w:r>
        <w:rPr>
          <w:b/>
          <w:color w:val="000000"/>
        </w:rPr>
        <w:t xml:space="preserve"> </w:t>
      </w:r>
      <w:r>
        <w:rPr>
          <w:b/>
          <w:bCs/>
          <w:i/>
          <w:iCs/>
          <w:color w:val="000000"/>
          <w:sz w:val="24"/>
          <w:szCs w:val="24"/>
          <w:highlight w:val="white"/>
          <w:shd w:fill="FFFFFF" w:val="clear"/>
          <w:lang w:eastAsia="zh-CN" w:bidi="uk-UA"/>
        </w:rPr>
        <w:t xml:space="preserve">Послуги з технічного обслуговування компресора </w:t>
      </w:r>
    </w:p>
    <w:p>
      <w:pPr>
        <w:pStyle w:val="TableParagraph"/>
        <w:ind w:left="182" w:right="171" w:hanging="0"/>
        <w:jc w:val="center"/>
        <w:rPr/>
      </w:pPr>
      <w:r>
        <w:rPr>
          <w:b/>
          <w:bCs/>
          <w:i/>
          <w:iCs/>
          <w:color w:val="000000"/>
          <w:sz w:val="24"/>
          <w:szCs w:val="24"/>
          <w:highlight w:val="white"/>
          <w:shd w:fill="FFFFFF" w:val="clear"/>
          <w:lang w:eastAsia="zh-CN" w:bidi="uk-UA"/>
        </w:rPr>
        <w:t xml:space="preserve"> </w:t>
      </w:r>
      <w:r>
        <w:rPr>
          <w:b/>
          <w:bCs/>
          <w:i/>
          <w:iCs/>
          <w:color w:val="000000"/>
          <w:sz w:val="24"/>
          <w:szCs w:val="24"/>
          <w:highlight w:val="white"/>
          <w:shd w:fill="FFFFFF" w:val="clear"/>
          <w:lang w:eastAsia="zh-CN" w:bidi="uk-UA"/>
        </w:rPr>
        <w:t>ZELKO 30 та генератора кисню OG  180</w:t>
      </w:r>
    </w:p>
    <w:p>
      <w:pPr>
        <w:pStyle w:val="TableParagraph"/>
        <w:ind w:left="182" w:right="171" w:hanging="0"/>
        <w:jc w:val="center"/>
        <w:rPr/>
      </w:pPr>
      <w:r>
        <w:rPr>
          <w:b/>
          <w:bCs/>
          <w:i/>
          <w:iCs/>
          <w:color w:val="000000"/>
          <w:sz w:val="24"/>
          <w:szCs w:val="24"/>
          <w:highlight w:val="white"/>
          <w:shd w:fill="FFFFFF" w:val="clear"/>
          <w:lang w:eastAsia="zh-CN" w:bidi="uk-UA"/>
        </w:rPr>
        <w:t>ДК 021:2015: 50420000-5 Послуги з ремонту і технічного обслуговування медичного та хірургічного обладнання</w:t>
      </w:r>
    </w:p>
    <w:p>
      <w:pPr>
        <w:pStyle w:val="TableParagraph"/>
        <w:ind w:left="182" w:right="171" w:hanging="0"/>
        <w:jc w:val="center"/>
        <w:rPr>
          <w:b/>
          <w:b/>
          <w:bCs/>
          <w:i/>
          <w:i/>
          <w:iCs/>
          <w:color w:val="000000"/>
          <w:sz w:val="24"/>
          <w:szCs w:val="24"/>
          <w:highlight w:val="white"/>
          <w:shd w:fill="FFFFFF" w:val="clear"/>
          <w:lang w:eastAsia="zh-CN" w:bidi="uk-UA"/>
        </w:rPr>
      </w:pPr>
      <w:r>
        <w:rPr>
          <w:b/>
          <w:bCs/>
          <w:i/>
          <w:iCs/>
          <w:color w:val="000000"/>
          <w:sz w:val="24"/>
          <w:szCs w:val="24"/>
          <w:highlight w:val="white"/>
          <w:shd w:fill="FFFFFF" w:val="clear"/>
          <w:lang w:eastAsia="zh-CN" w:bidi="uk-UA"/>
        </w:rPr>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1. Виконавець проводить технічне обслуговування обладнання відповідно до узгодженого обома сторонами графіку.</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2. У разі виявлення недоліків, допущених при проведенні технічного обслуговування, Учасник повинен усунути їх безоплатно, у термін не більше 3-х (трьох) робочих днів з моменту надходження відповідного звернення замовника.</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3. Під час технічного обслуговування, Учасник зобов'язаний використовувати нові комплектуюч</w:t>
      </w:r>
      <w:r>
        <w:rPr>
          <w:rFonts w:eastAsia="Times New Roman" w:cs="Times New Roman" w:ascii="Times New Roman" w:hAnsi="Times New Roman"/>
          <w:bCs/>
          <w:iCs/>
          <w:sz w:val="24"/>
          <w:szCs w:val="24"/>
        </w:rPr>
        <w:t>і</w:t>
      </w:r>
      <w:r>
        <w:rPr>
          <w:rFonts w:eastAsia="Times New Roman" w:cs="Times New Roman" w:ascii="Times New Roman" w:hAnsi="Times New Roman"/>
          <w:bCs/>
          <w:iCs/>
          <w:sz w:val="24"/>
          <w:szCs w:val="24"/>
        </w:rPr>
        <w:t xml:space="preserve"> деталі. (Надати лист).</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4. Вартість послуг повинна включати вартість витратних матеріалів та затрати на приїзд сервісного інженера для проведення технічного обслуговування.</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5. Учасник в складі тендерної пропозиції надає довідку з інформацією про повне найменування, місце знаходження,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6. Послуги повинні надаватися фахівцем/фахівцями який/які пройшли навчання та мають право обслуговувати дане обладнання (Учасник повинен надати інформаційну довідку, складену в довільній формі за підписом уповноваженої особи та завірену печаткою (у разі використання) або сертифікат/інший документ, виданий виробником або офіційним представником на території України, про проходження навчання та можливість обслуговувати дане обладнання).</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7. Копія ліцензії на право провадження діяльності з обов’язковим зазначенням права займатися технічним обслуговуванням даного виду обладнання.</w:t>
      </w:r>
    </w:p>
    <w:p>
      <w:pPr>
        <w:pStyle w:val="23"/>
        <w:shd w:val="clear" w:color="auto" w:fill="FFFFFF" w:themeFill="background1"/>
        <w:spacing w:lineRule="auto" w:line="240"/>
        <w:jc w:val="both"/>
        <w:rPr/>
      </w:pPr>
      <w:r>
        <w:rPr>
          <w:rFonts w:eastAsia="Times New Roman" w:cs="Times New Roman" w:ascii="Times New Roman" w:hAnsi="Times New Roman"/>
          <w:bCs/>
          <w:iCs/>
          <w:sz w:val="24"/>
          <w:szCs w:val="24"/>
        </w:rPr>
        <w:t>8. Виконавець після технічного обслуговування повинен надати відповідні документи.</w:t>
      </w:r>
    </w:p>
    <w:p>
      <w:pPr>
        <w:pStyle w:val="23"/>
        <w:shd w:val="clear" w:color="auto" w:fill="FFFFFF" w:themeFill="background1"/>
        <w:spacing w:lineRule="auto" w:line="240"/>
        <w:jc w:val="both"/>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23"/>
        <w:shd w:val="clear" w:color="auto" w:fill="FFFFFF" w:themeFill="background1"/>
        <w:spacing w:lineRule="auto" w:line="240"/>
        <w:jc w:val="center"/>
        <w:rPr>
          <w:b/>
          <w:b/>
          <w:bCs/>
        </w:rPr>
      </w:pPr>
      <w:r>
        <w:rPr>
          <w:rFonts w:eastAsia="Times New Roman" w:cs="Times New Roman" w:ascii="Times New Roman" w:hAnsi="Times New Roman"/>
          <w:b/>
          <w:bCs/>
          <w:iCs/>
          <w:sz w:val="24"/>
          <w:szCs w:val="24"/>
        </w:rPr>
        <w:t>Перелік робіт</w:t>
      </w:r>
    </w:p>
    <w:p>
      <w:pPr>
        <w:pStyle w:val="23"/>
        <w:shd w:val="clear" w:color="auto" w:fill="FFFFFF" w:themeFill="background1"/>
        <w:spacing w:lineRule="auto" w:line="240" w:before="0" w:after="103"/>
        <w:jc w:val="both"/>
        <w:rPr>
          <w:b/>
          <w:b/>
          <w:bCs/>
        </w:rPr>
      </w:pPr>
      <w:r>
        <w:rPr>
          <w:rFonts w:eastAsia="Times New Roman" w:cs="Times New Roman" w:ascii="Times New Roman" w:hAnsi="Times New Roman"/>
          <w:b/>
          <w:bCs/>
          <w:iCs/>
          <w:sz w:val="24"/>
          <w:szCs w:val="24"/>
        </w:rPr>
        <w:t>Пункт 1. Технічне обслуговування (ТО) компресора включає:</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 Діагностика компресора;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1.2. Перевірка контролера і архіву помилок;</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1.3. Перевірка рукавів, трубок ПВХ, ременів, електричних з'єднань;</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1.4. Підтяжка або заміна: рукавів, ременів, електричних з'єднань;</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1.5. Перевірка шківів;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1.6. Перевірка роботи впускного клапана, мінімального тиску, термостата;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1.7. Перевірка датчика тиску і температури;</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1.8. Замір струмів і напруги;</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1.9. Чистка або мийка радіатора;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1.10 Чистка компресора від масла і пилу;</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1.11. Заміна повітряного фільтру;</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1.12. Заміна оливного фільтру;</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1.13. Заміна оливи;</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1.14. Заміна пневматичних трубок;</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1.15. Змащування підшипників електродвигуна;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1.16. Заміна сепаратору (1 раз на 6000 годин).</w:t>
      </w:r>
    </w:p>
    <w:p>
      <w:pPr>
        <w:pStyle w:val="23"/>
        <w:shd w:val="clear" w:color="auto" w:fill="FFFFFF" w:themeFill="background1"/>
        <w:spacing w:lineRule="auto" w:line="240" w:before="0" w:after="103"/>
        <w:jc w:val="both"/>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23"/>
        <w:shd w:val="clear" w:color="auto" w:fill="FFFFFF" w:themeFill="background1"/>
        <w:spacing w:lineRule="auto" w:line="240" w:before="0" w:after="103"/>
        <w:jc w:val="both"/>
        <w:rPr>
          <w:b/>
          <w:b/>
          <w:bCs/>
        </w:rPr>
      </w:pPr>
      <w:r>
        <w:rPr>
          <w:rFonts w:eastAsia="Times New Roman" w:cs="Times New Roman" w:ascii="Times New Roman" w:hAnsi="Times New Roman"/>
          <w:b/>
          <w:bCs/>
          <w:iCs/>
          <w:sz w:val="24"/>
          <w:szCs w:val="24"/>
        </w:rPr>
        <w:t>Пункт 2. Технічне обслуговування осушувача повітря:</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2.1. Перевірка контролера осушувача;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2.2. Перевірка витоків;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2.3. Перевірка спрацювання реле тиску на включення вентилятору обдуву та байпасного клапану;</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2.4. Перевірка працездатності ТРВ;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2.5. Продувка конденсатора.</w:t>
      </w:r>
    </w:p>
    <w:p>
      <w:pPr>
        <w:pStyle w:val="23"/>
        <w:shd w:val="clear" w:color="auto" w:fill="FFFFFF" w:themeFill="background1"/>
        <w:spacing w:lineRule="auto" w:line="240" w:before="0" w:after="103"/>
        <w:jc w:val="both"/>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23"/>
        <w:shd w:val="clear" w:color="auto" w:fill="FFFFFF" w:themeFill="background1"/>
        <w:spacing w:lineRule="auto" w:line="240" w:before="0" w:after="103"/>
        <w:jc w:val="both"/>
        <w:rPr>
          <w:b/>
          <w:b/>
          <w:bCs/>
        </w:rPr>
      </w:pPr>
      <w:r>
        <w:rPr>
          <w:rFonts w:eastAsia="Times New Roman" w:cs="Times New Roman" w:ascii="Times New Roman" w:hAnsi="Times New Roman"/>
          <w:b/>
          <w:bCs/>
          <w:iCs/>
          <w:sz w:val="24"/>
          <w:szCs w:val="24"/>
        </w:rPr>
        <w:t>Пункт 3. Технічне обслуговування кисневого генератора: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3.1. Перевірка контролера та архіву помилок;</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3.2. Перевірка датчика кисню;</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3.3. Перевірка витоку;</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3.4. Перевірка роботи клапанів;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3.5. Змащення клапанів;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3.5. Перевірка роботи пневморозподільників;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3.6. Перевірка рівню цеоліту та компенсування його витрати;</w:t>
      </w:r>
    </w:p>
    <w:p>
      <w:pPr>
        <w:pStyle w:val="23"/>
        <w:shd w:val="clear" w:color="auto" w:fill="FFFFFF" w:themeFill="background1"/>
        <w:spacing w:lineRule="auto" w:line="240" w:before="0" w:after="103"/>
        <w:jc w:val="both"/>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23"/>
        <w:shd w:val="clear" w:color="auto" w:fill="FFFFFF" w:themeFill="background1"/>
        <w:spacing w:lineRule="auto" w:line="240" w:before="0" w:after="103"/>
        <w:jc w:val="both"/>
        <w:rPr>
          <w:b/>
          <w:b/>
          <w:bCs/>
        </w:rPr>
      </w:pPr>
      <w:r>
        <w:rPr>
          <w:rFonts w:eastAsia="Times New Roman" w:cs="Times New Roman" w:ascii="Times New Roman" w:hAnsi="Times New Roman"/>
          <w:b/>
          <w:bCs/>
          <w:iCs/>
          <w:sz w:val="24"/>
          <w:szCs w:val="24"/>
        </w:rPr>
        <w:t>Пункт 4. Технічне обслуговування конвертера: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4.1. Перевірка контролера конвертера;</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4.2. Перевірка датчика температури;</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4.3. Перевірка витоків;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4.4. Перевірка роботи клапану;</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4.5. Перевірка роботи пневморозподільника;</w:t>
      </w:r>
    </w:p>
    <w:p>
      <w:pPr>
        <w:pStyle w:val="23"/>
        <w:shd w:val="clear" w:color="auto" w:fill="FFFFFF" w:themeFill="background1"/>
        <w:spacing w:lineRule="auto" w:line="240" w:before="0" w:after="103"/>
        <w:jc w:val="both"/>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23"/>
        <w:shd w:val="clear" w:color="auto" w:fill="FFFFFF" w:themeFill="background1"/>
        <w:spacing w:lineRule="auto" w:line="240" w:before="0" w:after="103"/>
        <w:jc w:val="both"/>
        <w:rPr>
          <w:b/>
          <w:b/>
          <w:bCs/>
        </w:rPr>
      </w:pPr>
      <w:r>
        <w:rPr>
          <w:rFonts w:eastAsia="Times New Roman" w:cs="Times New Roman" w:ascii="Times New Roman" w:hAnsi="Times New Roman"/>
          <w:b/>
          <w:bCs/>
          <w:iCs/>
          <w:sz w:val="24"/>
          <w:szCs w:val="24"/>
        </w:rPr>
        <w:t>Пункт 5. Технічне обслуговування магістральних фільтрів:</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5.1. Чистка або мийка колби;</w:t>
      </w:r>
    </w:p>
    <w:p>
      <w:pPr>
        <w:pStyle w:val="23"/>
        <w:shd w:val="clear" w:color="auto" w:fill="FFFFFF" w:themeFill="background1"/>
        <w:spacing w:lineRule="auto" w:line="240" w:before="0" w:after="103"/>
        <w:jc w:val="both"/>
        <w:rPr/>
      </w:pPr>
      <w:r>
        <w:rPr>
          <w:rFonts w:eastAsia="Times New Roman" w:cs="Times New Roman" w:ascii="Times New Roman" w:hAnsi="Times New Roman"/>
          <w:bCs/>
          <w:iCs/>
          <w:sz w:val="24"/>
          <w:szCs w:val="24"/>
        </w:rPr>
        <w:t>5.2. Заміна картриджу.</w:t>
      </w:r>
    </w:p>
    <w:p>
      <w:pPr>
        <w:pStyle w:val="Normal"/>
        <w:shd w:val="clear" w:color="auto" w:fill="FFFFFF" w:themeFill="background1"/>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pPr>
      <w:r>
        <w:rPr>
          <w:rFonts w:eastAsia="Times New Roman" w:cs="Times New Roman" w:ascii="Times New Roman" w:hAnsi="Times New Roman"/>
          <w:b/>
          <w:color w:val="000000"/>
          <w:sz w:val="24"/>
          <w:szCs w:val="24"/>
        </w:rPr>
        <w:t>ДОДАТОК  3</w:t>
      </w:r>
    </w:p>
    <w:p>
      <w:pPr>
        <w:pStyle w:val="Normal"/>
        <w:ind w:left="5660" w:hanging="0"/>
        <w:jc w:val="right"/>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ind w:firstLine="567"/>
        <w:jc w:val="center"/>
        <w:rPr/>
      </w:pPr>
      <w:r>
        <w:rPr>
          <w:rFonts w:ascii="Times New Roman" w:hAnsi="Times New Roman"/>
          <w:b/>
          <w:color w:val="000000"/>
          <w:sz w:val="28"/>
          <w:szCs w:val="28"/>
        </w:rPr>
        <w:t>ПРОЄКТ ДОГОВОРУ</w:t>
      </w:r>
    </w:p>
    <w:p>
      <w:pPr>
        <w:pStyle w:val="Normal"/>
        <w:ind w:firstLine="567"/>
        <w:jc w:val="center"/>
        <w:rPr/>
      </w:pPr>
      <w:r>
        <w:rPr>
          <w:rFonts w:ascii="Times New Roman" w:hAnsi="Times New Roman"/>
          <w:b/>
          <w:color w:val="000000"/>
          <w:sz w:val="24"/>
          <w:szCs w:val="24"/>
          <w:lang w:eastAsia="zh-CN"/>
        </w:rPr>
        <w:t>Оприлюднено в окремому файлі</w:t>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Style21"/>
        <w:spacing w:before="0" w:after="160"/>
        <w:ind w:firstLine="567"/>
        <w:jc w:val="center"/>
        <w:rPr>
          <w:rFonts w:ascii="Times New Roman" w:hAnsi="Times New Roman"/>
          <w:color w:val="000000"/>
          <w:sz w:val="28"/>
        </w:rPr>
      </w:pPr>
      <w:r>
        <w:rPr>
          <w:rFonts w:ascii="Times New Roman" w:hAnsi="Times New Roman"/>
          <w:color w:val="000000"/>
          <w:sz w:val="28"/>
        </w:rPr>
      </w:r>
    </w:p>
    <w:p>
      <w:pPr>
        <w:pStyle w:val="Normal"/>
        <w:spacing w:before="0" w:after="160"/>
        <w:ind w:firstLine="567"/>
        <w:jc w:val="center"/>
        <w:rPr/>
      </w:pPr>
      <w:r>
        <w:rPr/>
      </w:r>
    </w:p>
    <w:sectPr>
      <w:headerReference w:type="even" r:id="rId10"/>
      <w:headerReference w:type="default" r:id="rId11"/>
      <w:footerReference w:type="even" r:id="rId12"/>
      <w:footerReference w:type="default" r:id="rId13"/>
      <w:type w:val="nextPage"/>
      <w:pgSz w:w="11906" w:h="16838"/>
      <w:pgMar w:left="1417" w:right="850" w:gutter="0" w:header="0" w:top="850" w:footer="708" w:bottom="765"/>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4"/>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OpenSymbol" w:hAnsi="OpenSymbol" w:cs="OpenSymbol" w:hint="default"/>
        <w:sz w:val="24"/>
        <w:szCs w:val="24"/>
        <w:color w:val="auto"/>
        <w:lang w:val="uk-UA"/>
      </w:rPr>
    </w:lvl>
    <w:lvl w:ilvl="1">
      <w:start w:val="1"/>
      <w:numFmt w:val="bullet"/>
      <w:lvlText w:val="-"/>
      <w:lvlJc w:val="left"/>
      <w:pPr>
        <w:tabs>
          <w:tab w:val="num" w:pos="0"/>
        </w:tabs>
        <w:ind w:left="1440" w:hanging="360"/>
      </w:pPr>
      <w:rPr>
        <w:rFonts w:ascii="OpenSymbol" w:hAnsi="OpenSymbol" w:cs="OpenSymbol" w:hint="default"/>
        <w:sz w:val="24"/>
        <w:szCs w:val="24"/>
      </w:rPr>
    </w:lvl>
    <w:lvl w:ilvl="2">
      <w:start w:val="1"/>
      <w:numFmt w:val="bullet"/>
      <w:lvlText w:val="-"/>
      <w:lvlJc w:val="left"/>
      <w:pPr>
        <w:tabs>
          <w:tab w:val="num" w:pos="0"/>
        </w:tabs>
        <w:ind w:left="2160" w:hanging="360"/>
      </w:pPr>
      <w:rPr>
        <w:rFonts w:ascii="OpenSymbol" w:hAnsi="OpenSymbol" w:cs="OpenSymbol" w:hint="default"/>
        <w:sz w:val="24"/>
        <w:u w:val="single"/>
        <w:szCs w:val="24"/>
      </w:rPr>
    </w:lvl>
    <w:lvl w:ilvl="3">
      <w:start w:val="1"/>
      <w:numFmt w:val="bullet"/>
      <w:lvlText w:val="-"/>
      <w:lvlJc w:val="left"/>
      <w:pPr>
        <w:tabs>
          <w:tab w:val="num" w:pos="0"/>
        </w:tabs>
        <w:ind w:left="2880" w:hanging="360"/>
      </w:pPr>
      <w:rPr>
        <w:rFonts w:ascii="OpenSymbol" w:hAnsi="OpenSymbol" w:cs="OpenSymbol" w:hint="default"/>
        <w:bCs/>
        <w:color w:val="000000"/>
      </w:rPr>
    </w:lvl>
    <w:lvl w:ilvl="4">
      <w:start w:val="1"/>
      <w:numFmt w:val="bullet"/>
      <w:lvlText w:val="-"/>
      <w:lvlJc w:val="left"/>
      <w:pPr>
        <w:tabs>
          <w:tab w:val="num" w:pos="0"/>
        </w:tabs>
        <w:ind w:left="3600" w:hanging="360"/>
      </w:pPr>
      <w:rPr>
        <w:rFonts w:ascii="OpenSymbol" w:hAnsi="OpenSymbol" w:cs="OpenSymbol" w:hint="default"/>
        <w:smallCaps w:val="false"/>
        <w:caps w:val="false"/>
        <w:dstrike w:val="false"/>
        <w:strike w:val="false"/>
        <w:sz w:val="21"/>
        <w:spacing w:val="0"/>
        <w:i w:val="false"/>
        <w:u w:val="none"/>
        <w:b w:val="false"/>
        <w:effect w:val="none"/>
        <w:highlight w:val="white"/>
        <w:color w:val="000000"/>
        <w:lang w:eastAsia="en-US"/>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0"/>
      <w:outlineLvl w:val="0"/>
    </w:pPr>
    <w:rPr>
      <w:rFonts w:ascii="Cambria" w:hAnsi="Cambria" w:cs="Tahoma"/>
      <w:b/>
      <w:bCs/>
      <w:color w:val="365F91"/>
      <w:sz w:val="28"/>
      <w:szCs w:val="28"/>
    </w:rPr>
  </w:style>
  <w:style w:type="paragraph" w:styleId="2">
    <w:name w:val="Heading 2"/>
    <w:basedOn w:val="Normal"/>
    <w:qFormat/>
    <w:pPr>
      <w:spacing w:lineRule="auto" w:line="240" w:before="280" w:after="280"/>
      <w:outlineLvl w:val="1"/>
    </w:pPr>
    <w:rPr>
      <w:rFonts w:ascii="Times New Roman" w:hAnsi="Times New Roman" w:eastAsia="Times New Roman" w:cs="Times New Roman"/>
      <w:b/>
      <w:bCs/>
      <w:sz w:val="36"/>
      <w:szCs w:val="36"/>
      <w:lang w:val="ru-RU"/>
    </w:rPr>
  </w:style>
  <w:style w:type="character" w:styleId="DefaultParagraphFont" w:default="1">
    <w:name w:val="Default Paragraph Font"/>
    <w:uiPriority w:val="1"/>
    <w:semiHidden/>
    <w:unhideWhenUsed/>
    <w:qFormat/>
    <w:rPr/>
  </w:style>
  <w:style w:type="character" w:styleId="Style12" w:customStyle="1">
    <w:name w:val="Гіперпосилання"/>
    <w:basedOn w:val="DefaultParagraphFont"/>
    <w:qFormat/>
    <w:rPr>
      <w:color w:val="0000FF"/>
      <w:u w:val="single"/>
    </w:rPr>
  </w:style>
  <w:style w:type="character" w:styleId="21" w:customStyle="1">
    <w:name w:val="Основной текст с отступом 2 Знак1"/>
    <w:basedOn w:val="DefaultParagraphFont"/>
    <w:link w:val="20"/>
    <w:qFormat/>
    <w:rPr>
      <w:rFonts w:ascii="Times New Roman" w:hAnsi="Times New Roman" w:eastAsia="Times New Roman" w:cs="Times New Roman"/>
      <w:b/>
      <w:bCs/>
      <w:sz w:val="36"/>
      <w:szCs w:val="36"/>
      <w:lang w:eastAsia="ru-RU"/>
    </w:rPr>
  </w:style>
  <w:style w:type="character" w:styleId="Style13" w:customStyle="1">
    <w:name w:val="Текст выноски Знак"/>
    <w:basedOn w:val="DefaultParagraphFont"/>
    <w:qFormat/>
    <w:rPr>
      <w:rFonts w:ascii="Tahoma" w:hAnsi="Tahoma" w:eastAsia="Calibri" w:cs="Tahoma"/>
      <w:sz w:val="16"/>
      <w:szCs w:val="16"/>
      <w:lang w:val="uk-UA" w:eastAsia="ru-RU"/>
    </w:rPr>
  </w:style>
  <w:style w:type="character" w:styleId="22" w:customStyle="1">
    <w:name w:val="Основной текст с отступом 2 Знак"/>
    <w:basedOn w:val="DefaultParagraphFont"/>
    <w:qFormat/>
    <w:rPr>
      <w:rFonts w:ascii="Calibri" w:hAnsi="Calibri" w:eastAsia="Times New Roman" w:cs="Times New Roman"/>
    </w:rPr>
  </w:style>
  <w:style w:type="character" w:styleId="11" w:customStyle="1">
    <w:name w:val="Заголовок 1 Знак"/>
    <w:basedOn w:val="DefaultParagraphFont"/>
    <w:qFormat/>
    <w:rPr>
      <w:rFonts w:ascii="Cambria" w:hAnsi="Cambria" w:eastAsia="Calibri" w:cs="Tahoma"/>
      <w:b/>
      <w:bCs/>
      <w:color w:val="365F91"/>
      <w:sz w:val="28"/>
      <w:szCs w:val="28"/>
      <w:lang w:val="uk-UA" w:eastAsia="ru-RU"/>
    </w:rPr>
  </w:style>
  <w:style w:type="character" w:styleId="Style14" w:customStyle="1">
    <w:name w:val="Верхний колонтитул Знак"/>
    <w:basedOn w:val="DefaultParagraphFont"/>
    <w:qFormat/>
    <w:rPr>
      <w:rFonts w:ascii="Times New Roman" w:hAnsi="Times New Roman" w:eastAsia="Times New Roman" w:cs="Times New Roman"/>
      <w:sz w:val="24"/>
      <w:szCs w:val="24"/>
      <w:lang w:eastAsia="ar-SA"/>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ar-SA"/>
    </w:rPr>
  </w:style>
  <w:style w:type="character" w:styleId="Style16" w:customStyle="1">
    <w:name w:val="Абзац списка Знак"/>
    <w:qFormat/>
    <w:rPr>
      <w:rFonts w:ascii="Calibri" w:hAnsi="Calibri" w:eastAsia="Calibri" w:cs="Calibri"/>
      <w:lang w:val="uk-UA" w:eastAsia="ru-RU"/>
    </w:rPr>
  </w:style>
  <w:style w:type="character" w:styleId="Style17" w:customStyle="1">
    <w:name w:val="Основной текст Знак"/>
    <w:basedOn w:val="DefaultParagraphFont"/>
    <w:qFormat/>
    <w:rPr>
      <w:rFonts w:ascii="Calibri" w:hAnsi="Calibri" w:eastAsia="Calibri" w:cs="Calibri"/>
      <w:lang w:val="uk-UA" w:eastAsia="ru-RU"/>
    </w:rPr>
  </w:style>
  <w:style w:type="character" w:styleId="12" w:customStyle="1">
    <w:name w:val="Абзац списка Знак1"/>
    <w:qFormat/>
    <w:rPr>
      <w:rFonts w:ascii="Times New Roman" w:hAnsi="Times New Roman" w:eastAsia="Times New Roman" w:cs="Times New Roman"/>
      <w:lang w:val="uk-UA"/>
    </w:rPr>
  </w:style>
  <w:style w:type="character" w:styleId="Rvts23" w:customStyle="1">
    <w:name w:val="rvts23"/>
    <w:basedOn w:val="DefaultParagraphFont"/>
    <w:qFormat/>
    <w:rPr/>
  </w:style>
  <w:style w:type="character" w:styleId="Style18" w:customStyle="1">
    <w:name w:val="Интернет-ссылка"/>
    <w:qFormat/>
    <w:rPr>
      <w:color w:val="000080"/>
      <w:u w:val="single"/>
    </w:rPr>
  </w:style>
  <w:style w:type="character" w:styleId="Qaclassifierdescrcode" w:customStyle="1">
    <w:name w:val="qa_classifier_descr_code"/>
    <w:basedOn w:val="DefaultParagraphFont"/>
    <w:qFormat/>
    <w:rPr/>
  </w:style>
  <w:style w:type="character" w:styleId="Qaclassifierdescrprimary" w:customStyle="1">
    <w:name w:val="qa_classifier_descr_primary"/>
    <w:basedOn w:val="DefaultParagraphFont"/>
    <w:qFormat/>
    <w:rPr/>
  </w:style>
  <w:style w:type="character" w:styleId="Strong">
    <w:name w:val="Strong"/>
    <w:qFormat/>
    <w:rPr>
      <w:b/>
      <w:bCs/>
    </w:rPr>
  </w:style>
  <w:style w:type="character" w:styleId="WW8Num4z0" w:customStyle="1">
    <w:name w:val="WW8Num4z0"/>
    <w:qFormat/>
    <w:rPr>
      <w:rFonts w:ascii="Wingdings" w:hAnsi="Wingdings" w:cs="Wingdings"/>
      <w:sz w:val="24"/>
      <w:szCs w:val="24"/>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Style19" w:customStyle="1">
    <w:name w:val="Маркери"/>
    <w:qFormat/>
    <w:rPr>
      <w:rFonts w:ascii="OpenSymbol" w:hAnsi="OpenSymbol" w:eastAsia="OpenSymbol" w:cs="OpenSymbol"/>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1" w:customStyle="1">
    <w:name w:val="List Paragraph1"/>
    <w:basedOn w:val="Normal"/>
    <w:qFormat/>
    <w:pPr>
      <w:spacing w:lineRule="auto" w:line="240" w:before="0" w:after="0"/>
      <w:ind w:left="720" w:hanging="0"/>
    </w:pPr>
    <w:rPr>
      <w:rFonts w:ascii="Times New Roman" w:hAnsi="Times New Roman" w:eastAsia="Times New Roman" w:cs="Times New Roman"/>
      <w:sz w:val="24"/>
      <w:szCs w:val="24"/>
      <w:lang w:val="ru-RU" w:eastAsia="ar-SA"/>
    </w:rPr>
  </w:style>
  <w:style w:type="paragraph" w:styleId="BodyTextIndent2">
    <w:name w:val="Body Text Indent 2"/>
    <w:basedOn w:val="Normal"/>
    <w:link w:val="21"/>
    <w:qFormat/>
    <w:pPr>
      <w:spacing w:lineRule="auto" w:line="480" w:before="0" w:after="120"/>
      <w:ind w:left="283" w:hanging="0"/>
    </w:pPr>
    <w:rPr>
      <w:rFonts w:eastAsia="Times New Roman" w:cs="Times New Roman"/>
      <w:lang w:val="ru-RU" w:eastAsia="en-US"/>
    </w:rPr>
  </w:style>
  <w:style w:type="paragraph" w:styleId="Rvps2" w:customStyle="1">
    <w:name w:val="rvps2"/>
    <w:basedOn w:val="Normal"/>
    <w:qFormat/>
    <w:pPr>
      <w:spacing w:lineRule="auto" w:line="240" w:before="280" w:after="280"/>
    </w:pPr>
    <w:rPr>
      <w:rFonts w:ascii="Times New Roman" w:hAnsi="Times New Roman" w:cs="Times New Roman"/>
      <w:sz w:val="24"/>
      <w:szCs w:val="24"/>
      <w:lang w:eastAsia="uk-UA"/>
    </w:rPr>
  </w:style>
  <w:style w:type="paragraph" w:styleId="13"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Абзац списка1"/>
    <w:basedOn w:val="Normal"/>
    <w:qFormat/>
    <w:pPr>
      <w:spacing w:lineRule="auto" w:line="276" w:before="0" w:after="200"/>
      <w:ind w:left="720" w:hanging="0"/>
      <w:contextualSpacing/>
    </w:pPr>
    <w:rPr>
      <w:rFonts w:eastAsia="Times New Roman" w:cs="Times New Roman"/>
      <w:lang w:val="ru-RU" w:eastAsia="en-US"/>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ListParagraph">
    <w:name w:val="List Paragraph"/>
    <w:basedOn w:val="Normal"/>
    <w:qFormat/>
    <w:pPr>
      <w:spacing w:before="0" w:after="160"/>
      <w:ind w:left="720" w:hanging="0"/>
      <w:contextualSpacing/>
    </w:pPr>
    <w:rPr/>
  </w:style>
  <w:style w:type="paragraph" w:styleId="Style25" w:customStyle="1">
    <w:name w:val="Верхній і нижній колонтитули"/>
    <w:basedOn w:val="Normal"/>
    <w:qFormat/>
    <w:pPr/>
    <w:rPr/>
  </w:style>
  <w:style w:type="paragraph" w:styleId="Style26" w:customStyle="1">
    <w:name w:val="Колонтитул"/>
    <w:basedOn w:val="Normal"/>
    <w:qFormat/>
    <w:pPr/>
    <w:rPr/>
  </w:style>
  <w:style w:type="paragraph" w:styleId="Style27">
    <w:name w:val="Head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ru-RU" w:eastAsia="ar-SA"/>
    </w:rPr>
  </w:style>
  <w:style w:type="paragraph" w:styleId="Style28">
    <w:name w:val="Foot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ru-RU" w:eastAsia="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ru-RU" w:eastAsia="ar-SA"/>
    </w:rPr>
  </w:style>
  <w:style w:type="paragraph" w:styleId="TableParagraph" w:customStyle="1">
    <w:name w:val="Table Paragraph"/>
    <w:basedOn w:val="Normal"/>
    <w:qFormat/>
    <w:pPr>
      <w:widowControl w:val="false"/>
      <w:spacing w:lineRule="auto" w:line="240" w:before="0" w:after="0"/>
      <w:ind w:left="200" w:hanging="0"/>
    </w:pPr>
    <w:rPr>
      <w:rFonts w:ascii="Times New Roman" w:hAnsi="Times New Roman" w:eastAsia="Times New Roman" w:cs="Times New Roman"/>
      <w:lang w:eastAsia="en-US"/>
    </w:rPr>
  </w:style>
  <w:style w:type="paragraph" w:styleId="A" w:customStyle="1">
    <w:name w:val="a"/>
    <w:basedOn w:val="Normal"/>
    <w:qFormat/>
    <w:pPr>
      <w:spacing w:lineRule="auto" w:line="240" w:before="280" w:after="280"/>
    </w:pPr>
    <w:rPr>
      <w:rFonts w:ascii="Times New Roman" w:hAnsi="Times New Roman" w:eastAsia="SimSun" w:cs="Times New Roman"/>
      <w:sz w:val="24"/>
      <w:szCs w:val="24"/>
      <w:lang w:val="ru-RU"/>
    </w:rPr>
  </w:style>
  <w:style w:type="paragraph" w:styleId="Style29" w:customStyle="1">
    <w:name w:val="Содержимое таблицы"/>
    <w:basedOn w:val="Normal"/>
    <w:qFormat/>
    <w:pPr>
      <w:widowControl w:val="false"/>
      <w:suppressLineNumbers/>
    </w:pPr>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color w:val="000000"/>
      <w:lang w:val="ru-RU"/>
    </w:rPr>
  </w:style>
  <w:style w:type="paragraph" w:styleId="23" w:customStyle="1">
    <w:name w:val="Обычный2"/>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uk-UA" w:eastAsia="uk-UA" w:bidi="ar-SA"/>
    </w:rPr>
  </w:style>
  <w:style w:type="numbering" w:styleId="NoList" w:default="1">
    <w:name w:val="No List"/>
    <w:uiPriority w:val="99"/>
    <w:semiHidden/>
    <w:unhideWhenUsed/>
    <w:qFormat/>
  </w:style>
  <w:style w:type="numbering" w:styleId="WW8Num4" w:customStyle="1">
    <w:name w:val="WW8Num4"/>
    <w:qFormat/>
  </w:style>
  <w:style w:type="numbering" w:styleId="WW8Num8" w:customStyle="1">
    <w:name w:val="WW8Num8"/>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zakon0.rada.gov.ua/laws/show/2289-17"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 Id="rId9" Type="http://schemas.openxmlformats.org/officeDocument/2006/relationships/hyperlink" Target="https://radnuk.com.ua/pravova-baza/pro-zatverdzhennia-typovoi-antykoruptsijnoi-prohramy-iurydychnoi-osoby/"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A414-7F40-47F0-8002-7AA3188C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Application>LibreOffice/7.2.2.2$Windows_X86_64 LibreOffice_project/02b2acce88a210515b4a5bb2e46cbfb63fe97d56</Application>
  <AppVersion>15.0000</AppVersion>
  <Pages>34</Pages>
  <Words>9797</Words>
  <Characters>67694</Characters>
  <CharactersWithSpaces>77129</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2023-08-09T16:44:00Z</dcterms:created>
  <dc:creator>Irina</dc:creator>
  <dc:description/>
  <dc:language>uk-UA</dc:language>
  <cp:lastModifiedBy/>
  <dcterms:modified xsi:type="dcterms:W3CDTF">2024-03-15T10:28:48Z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