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A745D5"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A745D5">
              <w:rPr>
                <w:rFonts w:eastAsia="Calibri"/>
                <w:bCs/>
                <w:noProof/>
                <w:lang w:val="uk-UA" w:eastAsia="en-US"/>
              </w:rPr>
              <w:t>«</w:t>
            </w:r>
            <w:r w:rsidR="00151068" w:rsidRPr="00151068">
              <w:rPr>
                <w:rFonts w:eastAsia="Calibri"/>
                <w:bCs/>
                <w:noProof/>
                <w:lang w:eastAsia="en-US"/>
              </w:rPr>
              <w:t>1</w:t>
            </w:r>
            <w:r w:rsidR="00AC36A0">
              <w:rPr>
                <w:rFonts w:eastAsia="Calibri"/>
                <w:bCs/>
                <w:noProof/>
                <w:lang w:val="uk-UA" w:eastAsia="en-US"/>
              </w:rPr>
              <w:t>5</w:t>
            </w:r>
            <w:r w:rsidRPr="00A745D5">
              <w:rPr>
                <w:rFonts w:eastAsia="Calibri"/>
                <w:bCs/>
                <w:noProof/>
                <w:lang w:val="uk-UA" w:eastAsia="en-US"/>
              </w:rPr>
              <w:t xml:space="preserve">» </w:t>
            </w:r>
            <w:r w:rsidR="00E15B2A" w:rsidRPr="00A745D5">
              <w:rPr>
                <w:rFonts w:eastAsia="Calibri"/>
                <w:bCs/>
                <w:noProof/>
                <w:lang w:val="uk-UA" w:eastAsia="en-US"/>
              </w:rPr>
              <w:t>лютого</w:t>
            </w:r>
            <w:r w:rsidRPr="00A745D5">
              <w:rPr>
                <w:rFonts w:eastAsia="Calibri"/>
                <w:bCs/>
                <w:noProof/>
                <w:lang w:val="uk-UA" w:eastAsia="en-US"/>
              </w:rPr>
              <w:t xml:space="preserve"> 20</w:t>
            </w:r>
            <w:r w:rsidRPr="00A745D5">
              <w:rPr>
                <w:rFonts w:eastAsia="Calibri"/>
                <w:bCs/>
                <w:noProof/>
                <w:lang w:eastAsia="en-US"/>
              </w:rPr>
              <w:t>2</w:t>
            </w:r>
            <w:r w:rsidR="00AC6F9C" w:rsidRPr="00A745D5">
              <w:rPr>
                <w:rFonts w:eastAsia="Calibri"/>
                <w:bCs/>
                <w:noProof/>
                <w:lang w:val="uk-UA" w:eastAsia="en-US"/>
              </w:rPr>
              <w:t>4</w:t>
            </w:r>
            <w:r w:rsidRPr="00A745D5">
              <w:rPr>
                <w:rFonts w:eastAsia="Calibri"/>
                <w:bCs/>
                <w:noProof/>
                <w:lang w:val="uk-UA" w:eastAsia="en-US"/>
              </w:rPr>
              <w:t xml:space="preserve"> року, </w:t>
            </w:r>
          </w:p>
          <w:p w:rsidR="002D1B82" w:rsidRPr="00D5069B" w:rsidRDefault="002D1B82" w:rsidP="002D1B82">
            <w:pPr>
              <w:rPr>
                <w:rFonts w:eastAsia="Calibri"/>
                <w:bCs/>
                <w:noProof/>
                <w:lang w:val="uk-UA" w:eastAsia="en-US"/>
              </w:rPr>
            </w:pPr>
            <w:r w:rsidRPr="00A745D5">
              <w:rPr>
                <w:rFonts w:eastAsia="Calibri"/>
                <w:bCs/>
                <w:noProof/>
                <w:lang w:val="uk-UA" w:eastAsia="en-US"/>
              </w:rPr>
              <w:t xml:space="preserve">          </w:t>
            </w:r>
            <w:r w:rsidR="00297B1F" w:rsidRPr="00A745D5">
              <w:rPr>
                <w:rFonts w:eastAsia="Calibri"/>
                <w:bCs/>
                <w:noProof/>
                <w:lang w:val="uk-UA" w:eastAsia="en-US"/>
              </w:rPr>
              <w:t xml:space="preserve">протокол № </w:t>
            </w:r>
            <w:r w:rsidR="00AC36A0">
              <w:rPr>
                <w:rFonts w:eastAsia="Calibri"/>
                <w:bCs/>
                <w:noProof/>
                <w:lang w:val="uk-UA" w:eastAsia="en-US"/>
              </w:rPr>
              <w:t>32</w:t>
            </w:r>
            <w:bookmarkStart w:id="0" w:name="_GoBack"/>
            <w:bookmarkEnd w:id="0"/>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715C2F" w:rsidRPr="00715C2F">
        <w:rPr>
          <w:b/>
          <w:bCs/>
          <w:lang w:val="uk-UA"/>
        </w:rPr>
        <w:t>09120000-6 Газове паливо (</w:t>
      </w:r>
      <w:r w:rsidR="00353478" w:rsidRPr="00353478">
        <w:rPr>
          <w:b/>
          <w:bCs/>
          <w:lang w:val="uk-UA"/>
        </w:rPr>
        <w:t>Газ пропан-бутан в балонах</w:t>
      </w:r>
      <w:r w:rsidR="00715C2F" w:rsidRPr="00715C2F">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580A6C"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1C4253">
            <w:pPr>
              <w:jc w:val="both"/>
              <w:rPr>
                <w:lang w:val="uk-UA"/>
              </w:rPr>
            </w:pPr>
            <w:r>
              <w:rPr>
                <w:bCs/>
                <w:lang w:val="uk-UA"/>
              </w:rPr>
              <w:t xml:space="preserve"> </w:t>
            </w:r>
            <w:r w:rsidR="009B68BA" w:rsidRPr="00B766EE">
              <w:rPr>
                <w:bCs/>
                <w:lang w:val="uk-UA"/>
              </w:rPr>
              <w:t xml:space="preserve">ДК 021:2015 код – </w:t>
            </w:r>
            <w:r w:rsidR="00EB3294" w:rsidRPr="00EB3294">
              <w:rPr>
                <w:bCs/>
                <w:lang w:val="uk-UA"/>
              </w:rPr>
              <w:t>09120000-6 Газове паливо (</w:t>
            </w:r>
            <w:r w:rsidR="00587063" w:rsidRPr="00587063">
              <w:rPr>
                <w:bCs/>
                <w:lang w:val="uk-UA"/>
              </w:rPr>
              <w:t>Газ пропан-бутан в балонах</w:t>
            </w:r>
            <w:r w:rsidR="00EB3294" w:rsidRPr="00EB3294">
              <w:rPr>
                <w:bCs/>
                <w:lang w:val="uk-UA"/>
              </w:rPr>
              <w:t>)</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1" w:name="61"/>
            <w:bookmarkStart w:id="2" w:name="62"/>
            <w:bookmarkEnd w:id="1"/>
            <w:bookmarkEnd w:id="2"/>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5C6CA5" w:rsidRPr="005C6CA5" w:rsidRDefault="005C6CA5" w:rsidP="005C6CA5">
            <w:pPr>
              <w:jc w:val="both"/>
              <w:rPr>
                <w:lang w:val="uk-UA"/>
              </w:rPr>
            </w:pPr>
            <w:r>
              <w:rPr>
                <w:lang w:val="uk-UA"/>
              </w:rPr>
              <w:t xml:space="preserve"> </w:t>
            </w:r>
            <w:r w:rsidRPr="005C6CA5">
              <w:rPr>
                <w:lang w:val="uk-UA"/>
              </w:rPr>
              <w:t xml:space="preserve">43005, м. Луцьк, вул. Гулака-Артемовського, 20; </w:t>
            </w:r>
          </w:p>
          <w:p w:rsidR="00B7752C" w:rsidRPr="0024455A" w:rsidRDefault="005C6CA5" w:rsidP="005C6CA5">
            <w:pPr>
              <w:jc w:val="both"/>
            </w:pPr>
            <w:r w:rsidRPr="005C6CA5">
              <w:rPr>
                <w:lang w:val="uk-UA"/>
              </w:rPr>
              <w:t xml:space="preserve"> </w:t>
            </w:r>
            <w:r w:rsidR="00B81F4A">
              <w:rPr>
                <w:lang w:val="en-US"/>
              </w:rPr>
              <w:t>2</w:t>
            </w:r>
            <w:r w:rsidR="00B81F4A">
              <w:rPr>
                <w:lang w:val="uk-UA"/>
              </w:rPr>
              <w:t>625</w:t>
            </w:r>
            <w:r w:rsidR="00B81F4A" w:rsidRPr="00B81F4A">
              <w:rPr>
                <w:lang w:val="en-US"/>
              </w:rPr>
              <w:t xml:space="preserve"> кг</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1950E5" w:rsidP="005A21C7">
            <w:pPr>
              <w:jc w:val="both"/>
              <w:rPr>
                <w:b/>
                <w:bCs/>
                <w:highlight w:val="yellow"/>
              </w:rPr>
            </w:pPr>
            <w:r w:rsidRPr="001950E5">
              <w:rPr>
                <w:lang w:val="uk-UA"/>
              </w:rPr>
              <w:t>Поставка товару здійснюється окремими партіями протягом 10 (десяти) робочих днів з дати отримання заявки, шляхом обміну пустих балонів Покупця на заправлені балони Постачальника.</w:t>
            </w:r>
            <w:r w:rsidR="009A7DBE">
              <w:t xml:space="preserve"> </w:t>
            </w:r>
            <w:r w:rsidR="009A7DBE" w:rsidRPr="009A7DBE">
              <w:rPr>
                <w:lang w:val="uk-UA"/>
              </w:rPr>
              <w:t>Мінімальна кількість Товару в кожній окремій партії, що поставляєт</w:t>
            </w:r>
            <w:r w:rsidR="00755580">
              <w:rPr>
                <w:lang w:val="uk-UA"/>
              </w:rPr>
              <w:t>ься, повинна бути не менше 8 (во</w:t>
            </w:r>
            <w:r w:rsidR="009A7DBE" w:rsidRPr="009A7DBE">
              <w:rPr>
                <w:lang w:val="uk-UA"/>
              </w:rPr>
              <w:t>сьми) балонів.</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580A6C"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580A6C"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3" w:name="n399"/>
            <w:bookmarkEnd w:id="3"/>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4" w:name="n400"/>
            <w:bookmarkEnd w:id="4"/>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5" w:name="n401"/>
            <w:bookmarkEnd w:id="5"/>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6" w:name="n402"/>
            <w:bookmarkEnd w:id="6"/>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7" w:name="n403"/>
            <w:bookmarkEnd w:id="7"/>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8" w:name="n404"/>
            <w:bookmarkEnd w:id="8"/>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9" w:name="n405"/>
            <w:bookmarkEnd w:id="9"/>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10" w:name="n406"/>
            <w:bookmarkEnd w:id="10"/>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1" w:name="n407"/>
            <w:bookmarkEnd w:id="11"/>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2" w:name="n408"/>
            <w:bookmarkEnd w:id="12"/>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3" w:name="n409"/>
            <w:bookmarkEnd w:id="13"/>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4" w:name="n410"/>
            <w:bookmarkEnd w:id="14"/>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5" w:name="n411"/>
            <w:bookmarkEnd w:id="15"/>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6" w:name="n412"/>
            <w:bookmarkEnd w:id="16"/>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7" w:name="n413"/>
            <w:bookmarkEnd w:id="17"/>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8" w:name="n414"/>
            <w:bookmarkEnd w:id="18"/>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9" w:name="n415"/>
            <w:bookmarkEnd w:id="19"/>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580A6C"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7C70DF">
              <w:rPr>
                <w:lang w:val="uk-UA" w:eastAsia="en-US"/>
              </w:rPr>
              <w:t>2</w:t>
            </w:r>
            <w:r w:rsidR="0034382A">
              <w:rPr>
                <w:lang w:val="uk-UA" w:eastAsia="en-US"/>
              </w:rPr>
              <w:t>1</w:t>
            </w:r>
            <w:r w:rsidR="004D0214" w:rsidRPr="00C01350">
              <w:rPr>
                <w:lang w:val="uk-UA" w:eastAsia="en-US"/>
              </w:rPr>
              <w:t>.</w:t>
            </w:r>
            <w:r w:rsidR="00DD6BF9" w:rsidRPr="00C01350">
              <w:rPr>
                <w:lang w:eastAsia="en-US"/>
              </w:rPr>
              <w:t>0</w:t>
            </w:r>
            <w:r w:rsidR="00C01350" w:rsidRPr="00C01350">
              <w:rPr>
                <w:lang w:val="uk-UA" w:eastAsia="en-US"/>
              </w:rPr>
              <w:t>2</w:t>
            </w:r>
            <w:r w:rsidR="00DD6BF9" w:rsidRPr="00C01350">
              <w:rPr>
                <w:lang w:val="uk-UA" w:eastAsia="en-US"/>
              </w:rPr>
              <w:t>.202</w:t>
            </w:r>
            <w:r w:rsidR="00DD6BF9" w:rsidRPr="00C01350">
              <w:rPr>
                <w:lang w:eastAsia="en-US"/>
              </w:rPr>
              <w:t>4</w:t>
            </w:r>
            <w:r w:rsidR="004D0214" w:rsidRPr="00C01350">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580A6C"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580A6C" w:rsidP="00F9045D">
            <w:pPr>
              <w:shd w:val="clear" w:color="auto" w:fill="FFFFFF"/>
              <w:spacing w:after="150"/>
              <w:ind w:firstLine="450"/>
              <w:jc w:val="both"/>
              <w:rPr>
                <w:color w:val="333333"/>
              </w:rPr>
            </w:pPr>
            <w:bookmarkStart w:id="33" w:name="n141"/>
            <w:bookmarkEnd w:id="33"/>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70" w:name="n75"/>
            <w:bookmarkEnd w:id="70"/>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1" w:name="n76"/>
            <w:bookmarkEnd w:id="71"/>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2" w:name="n77"/>
            <w:bookmarkEnd w:id="72"/>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EF6092" w:rsidP="00554688">
            <w:pPr>
              <w:shd w:val="clear" w:color="auto" w:fill="FFFFFF"/>
              <w:spacing w:after="150"/>
              <w:ind w:firstLine="450"/>
              <w:jc w:val="both"/>
              <w:rPr>
                <w:color w:val="333333"/>
              </w:rPr>
            </w:pPr>
            <w:bookmarkStart w:id="74" w:name="n78"/>
            <w:bookmarkEnd w:id="74"/>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5" w:name="n79"/>
            <w:bookmarkEnd w:id="75"/>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6" w:name="n80"/>
            <w:bookmarkEnd w:id="76"/>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554688" w:rsidRPr="00BC1302" w:rsidRDefault="00554688" w:rsidP="00554688">
            <w:pPr>
              <w:shd w:val="clear" w:color="auto" w:fill="FFFFFF"/>
              <w:spacing w:after="150"/>
              <w:ind w:firstLine="450"/>
              <w:jc w:val="both"/>
              <w:rPr>
                <w:color w:val="333333"/>
                <w:lang w:val="uk-UA"/>
              </w:rPr>
            </w:pPr>
            <w:bookmarkStart w:id="77" w:name="n81"/>
            <w:bookmarkEnd w:id="77"/>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BC1302">
              <w:rPr>
                <w:color w:val="333333"/>
                <w:lang w:val="uk-UA"/>
              </w:rPr>
              <w:t>;</w:t>
            </w:r>
          </w:p>
          <w:p w:rsidR="00F12F98" w:rsidRPr="001243EE" w:rsidRDefault="00F12F98" w:rsidP="00554688">
            <w:pPr>
              <w:shd w:val="clear" w:color="auto" w:fill="FFFFFF"/>
              <w:spacing w:after="150"/>
              <w:ind w:firstLine="450"/>
              <w:jc w:val="both"/>
              <w:rPr>
                <w:color w:val="333333"/>
                <w:lang w:val="uk-UA"/>
              </w:rPr>
            </w:pPr>
            <w:r w:rsidRPr="00FC354F">
              <w:rPr>
                <w:color w:val="333333"/>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lastRenderedPageBreak/>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580A6C"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725B78" w:rsidRPr="00F01838" w:rsidRDefault="00725B78" w:rsidP="00725B78">
      <w:pPr>
        <w:ind w:firstLine="709"/>
        <w:jc w:val="both"/>
        <w:rPr>
          <w:rFonts w:eastAsia="Calibri"/>
          <w:snapToGrid w:val="0"/>
          <w:lang w:val="uk-UA" w:eastAsia="en-US"/>
        </w:rPr>
      </w:pPr>
      <w:r w:rsidRPr="00F01838">
        <w:rPr>
          <w:rFonts w:eastAsia="Calibri"/>
          <w:snapToGrid w:val="0"/>
          <w:lang w:val="uk-UA" w:eastAsia="en-US"/>
        </w:rPr>
        <w:t>1.</w:t>
      </w:r>
      <w:r w:rsidR="00227BB6">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725B78" w:rsidRPr="00F01838" w:rsidRDefault="00EA1815" w:rsidP="00725B78">
      <w:pPr>
        <w:jc w:val="both"/>
        <w:rPr>
          <w:rFonts w:eastAsia="Calibri"/>
          <w:i/>
          <w:snapToGrid w:val="0"/>
          <w:lang w:val="uk-UA" w:eastAsia="en-US"/>
        </w:rPr>
      </w:pPr>
      <w:r w:rsidRPr="00F01838">
        <w:rPr>
          <w:rFonts w:eastAsia="Calibri"/>
          <w:i/>
          <w:snapToGrid w:val="0"/>
          <w:lang w:val="uk-UA" w:eastAsia="en-US"/>
        </w:rPr>
        <w:t>к</w:t>
      </w:r>
      <w:r w:rsidR="00725B78" w:rsidRPr="00F01838">
        <w:rPr>
          <w:rFonts w:eastAsia="Calibri"/>
          <w:i/>
          <w:snapToGrid w:val="0"/>
          <w:lang w:val="uk-UA" w:eastAsia="en-US"/>
        </w:rPr>
        <w:t>опія Балансу (Звіт про фінансовий стан);</w:t>
      </w:r>
    </w:p>
    <w:p w:rsidR="002606DF" w:rsidRPr="00B94CC0" w:rsidRDefault="00EA1815" w:rsidP="00B94CC0">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w:t>
      </w:r>
      <w:r w:rsidR="00725B78" w:rsidRPr="00F01838">
        <w:rPr>
          <w:rFonts w:ascii="Times New Roman" w:hAnsi="Times New Roman"/>
          <w:i/>
          <w:snapToGrid w:val="0"/>
          <w:sz w:val="24"/>
          <w:szCs w:val="24"/>
        </w:rPr>
        <w:t>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lastRenderedPageBreak/>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E7371">
        <w:rPr>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6D6499" w:rsidRDefault="006D6499"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352785" w:rsidRPr="002109E1" w:rsidRDefault="002B1D19" w:rsidP="002109E1">
      <w:pPr>
        <w:jc w:val="both"/>
        <w:rPr>
          <w:b/>
          <w:i/>
          <w:lang w:val="uk-UA"/>
        </w:rPr>
      </w:pPr>
      <w:r w:rsidRPr="002B1D19">
        <w:rPr>
          <w:b/>
          <w:i/>
          <w:lang w:val="uk-UA"/>
        </w:rPr>
        <w:t xml:space="preserve">Предмет закупівлі: </w:t>
      </w:r>
      <w:r w:rsidR="00984324" w:rsidRPr="00984324">
        <w:rPr>
          <w:b/>
          <w:i/>
          <w:lang w:val="uk-UA"/>
        </w:rPr>
        <w:t>Газ пропан-бутан в балонах</w:t>
      </w:r>
      <w:r w:rsidRPr="002B1D19">
        <w:rPr>
          <w:b/>
          <w:i/>
          <w:lang w:val="uk-UA"/>
        </w:rPr>
        <w:t xml:space="preserve"> (ДК 021:2015 код – </w:t>
      </w:r>
      <w:r w:rsidR="00E41AA1" w:rsidRPr="00E41AA1">
        <w:rPr>
          <w:b/>
          <w:i/>
          <w:lang w:val="uk-UA"/>
        </w:rPr>
        <w:t>09120000-6 Газове паливо</w:t>
      </w:r>
      <w:r w:rsidRPr="002B1D19">
        <w:rPr>
          <w:b/>
          <w:i/>
          <w:lang w:val="uk-UA"/>
        </w:rPr>
        <w:t>)</w:t>
      </w:r>
    </w:p>
    <w:p w:rsidR="00A574A4" w:rsidRPr="00F21765" w:rsidRDefault="00A574A4" w:rsidP="00352785">
      <w:pPr>
        <w:rPr>
          <w:b/>
          <w:sz w:val="22"/>
          <w:szCs w:val="22"/>
          <w:lang w:val="uk-UA"/>
        </w:rPr>
      </w:pPr>
    </w:p>
    <w:p w:rsidR="00783F15" w:rsidRPr="006F5165" w:rsidRDefault="00783F15" w:rsidP="00783F15">
      <w:pPr>
        <w:widowControl w:val="0"/>
        <w:rPr>
          <w:i/>
          <w:u w:val="single"/>
          <w:lang w:val="uk-UA"/>
        </w:rPr>
      </w:pPr>
      <w:r w:rsidRPr="00BA79EB">
        <w:rPr>
          <w:i/>
          <w:u w:val="single"/>
        </w:rPr>
        <w:t xml:space="preserve">Кількість: </w:t>
      </w:r>
      <w:r w:rsidR="006F5165">
        <w:rPr>
          <w:i/>
          <w:u w:val="single"/>
          <w:lang w:val="uk-UA"/>
        </w:rPr>
        <w:t>2625</w:t>
      </w:r>
      <w:r w:rsidRPr="009C2862">
        <w:rPr>
          <w:i/>
          <w:u w:val="single"/>
        </w:rPr>
        <w:t xml:space="preserve"> </w:t>
      </w:r>
      <w:r w:rsidR="006F5165">
        <w:rPr>
          <w:i/>
          <w:u w:val="single"/>
          <w:lang w:val="uk-UA"/>
        </w:rPr>
        <w:t>кг</w:t>
      </w:r>
    </w:p>
    <w:p w:rsidR="00783F15" w:rsidRPr="00056B9F" w:rsidRDefault="00783F15" w:rsidP="00783F15">
      <w:pPr>
        <w:widowControl w:val="0"/>
        <w:rPr>
          <w:u w:val="single"/>
        </w:rPr>
      </w:pPr>
    </w:p>
    <w:p w:rsidR="007E23E0" w:rsidRPr="005C5C6D" w:rsidRDefault="007E23E0" w:rsidP="007E23E0">
      <w:pPr>
        <w:ind w:left="-851"/>
        <w:jc w:val="both"/>
        <w:rPr>
          <w:color w:val="000000"/>
          <w:lang w:val="uk-UA"/>
        </w:rPr>
      </w:pPr>
      <w:r w:rsidRPr="005C5C6D">
        <w:rPr>
          <w:rFonts w:eastAsia="Calibri"/>
          <w:b/>
          <w:color w:val="000000"/>
          <w:lang w:val="uk-UA"/>
        </w:rPr>
        <w:t>Призначення і мета:</w:t>
      </w:r>
      <w:r w:rsidRPr="005C5C6D">
        <w:rPr>
          <w:rFonts w:eastAsia="Calibri"/>
          <w:color w:val="000000"/>
          <w:lang w:val="uk-UA"/>
        </w:rPr>
        <w:t xml:space="preserve"> </w:t>
      </w:r>
      <w:r w:rsidRPr="005C5C6D">
        <w:rPr>
          <w:color w:val="000000"/>
          <w:lang w:val="uk-UA"/>
        </w:rPr>
        <w:t xml:space="preserve">Газ </w:t>
      </w:r>
      <w:r w:rsidRPr="005C5C6D">
        <w:rPr>
          <w:rFonts w:eastAsia="Calibri"/>
          <w:lang w:val="uk-UA"/>
        </w:rPr>
        <w:t>пропан-бутан в</w:t>
      </w:r>
      <w:r w:rsidRPr="005C5C6D">
        <w:rPr>
          <w:color w:val="000000"/>
          <w:lang w:val="uk-UA"/>
        </w:rPr>
        <w:t xml:space="preserve"> балонах  використовується  для ремонтних робіт.</w:t>
      </w:r>
    </w:p>
    <w:p w:rsidR="007E23E0" w:rsidRPr="003E6895" w:rsidRDefault="007E23E0" w:rsidP="003E6895">
      <w:pPr>
        <w:ind w:left="-851"/>
        <w:jc w:val="both"/>
        <w:rPr>
          <w:rFonts w:eastAsia="Calibri" w:cs="Calibri"/>
          <w:lang w:val="uk-UA"/>
        </w:rPr>
      </w:pPr>
      <w:r w:rsidRPr="005C5C6D">
        <w:rPr>
          <w:rFonts w:eastAsia="Calibri" w:cs="Calibri"/>
          <w:b/>
          <w:lang w:val="uk-UA"/>
        </w:rPr>
        <w:t>Якість товару</w:t>
      </w:r>
      <w:r w:rsidRPr="005C5C6D">
        <w:rPr>
          <w:rFonts w:eastAsia="Calibri" w:cs="Calibri"/>
          <w:lang w:val="uk-UA"/>
        </w:rPr>
        <w:t xml:space="preserve"> повинна відповідати державним стандартам та технічним умовам виробника (</w:t>
      </w:r>
      <w:r w:rsidRPr="00EB0D63">
        <w:rPr>
          <w:rFonts w:eastAsia="Calibri" w:cs="Calibri"/>
          <w:lang w:val="uk-UA"/>
        </w:rPr>
        <w:t>ДСТУ 4047-2001</w:t>
      </w:r>
      <w:r w:rsidRPr="005C5C6D">
        <w:rPr>
          <w:rFonts w:eastAsia="Calibri" w:cs="Calibri"/>
          <w:lang w:val="uk-UA"/>
        </w:rPr>
        <w:t xml:space="preserve">) і підтверджуватись паспортом або сертифікатом якості виробника, що підтверджують відповідність товару вимогам, встановленим до нього загальнообов’язковими на території України нормами і правилами. </w:t>
      </w:r>
    </w:p>
    <w:p w:rsidR="007E23E0" w:rsidRPr="005C5C6D" w:rsidRDefault="007E23E0" w:rsidP="007E23E0">
      <w:pPr>
        <w:ind w:left="-851" w:firstLine="540"/>
        <w:jc w:val="both"/>
        <w:rPr>
          <w:rFonts w:eastAsia="Calibri"/>
          <w:b/>
          <w:lang w:val="uk-UA"/>
        </w:rPr>
      </w:pPr>
      <w:r w:rsidRPr="005C5C6D">
        <w:rPr>
          <w:rFonts w:eastAsia="Calibri"/>
          <w:lang w:val="uk-UA"/>
        </w:rPr>
        <w:t>До ціни товару обов’язково включаються усі додаткові витрати, які пов’язані з доставкою товару, обов’язкові платежі, збори тощо.</w:t>
      </w:r>
    </w:p>
    <w:p w:rsidR="007E23E0" w:rsidRPr="00D840CB" w:rsidRDefault="007E23E0" w:rsidP="00D840CB">
      <w:pPr>
        <w:ind w:left="-851" w:firstLine="709"/>
        <w:jc w:val="both"/>
        <w:rPr>
          <w:rFonts w:eastAsia="Calibri" w:cs="Calibri"/>
          <w:lang w:val="uk-UA"/>
        </w:rPr>
      </w:pPr>
      <w:r w:rsidRPr="005C5C6D">
        <w:rPr>
          <w:rFonts w:eastAsia="Calibri" w:cs="Calibri"/>
          <w:lang w:val="uk-UA"/>
        </w:rPr>
        <w:t xml:space="preserve">Облік, відпущеного газу пропан-бутану, ведеться </w:t>
      </w:r>
      <w:r w:rsidRPr="005C5C6D">
        <w:rPr>
          <w:rFonts w:eastAsia="Calibri" w:cs="Calibri"/>
          <w:b/>
          <w:lang w:val="uk-UA"/>
        </w:rPr>
        <w:t>у кілограмах</w:t>
      </w:r>
      <w:r w:rsidRPr="005C5C6D">
        <w:rPr>
          <w:rFonts w:eastAsia="Calibri" w:cs="Calibri"/>
          <w:lang w:val="uk-UA"/>
        </w:rPr>
        <w:t>.</w:t>
      </w:r>
    </w:p>
    <w:p w:rsidR="007E23E0" w:rsidRPr="005C5C6D" w:rsidRDefault="007E23E0" w:rsidP="007E23E0">
      <w:pPr>
        <w:ind w:left="-851"/>
        <w:rPr>
          <w:rFonts w:eastAsia="Calibri"/>
          <w:lang w:val="uk-UA"/>
        </w:rPr>
      </w:pPr>
      <w:r w:rsidRPr="005C5C6D">
        <w:rPr>
          <w:rFonts w:eastAsia="Calibri" w:cs="Calibri"/>
          <w:b/>
          <w:snapToGrid w:val="0"/>
          <w:lang w:val="uk-UA"/>
        </w:rPr>
        <w:tab/>
      </w:r>
    </w:p>
    <w:p w:rsidR="007E23E0" w:rsidRPr="005C5C6D" w:rsidRDefault="00B35650" w:rsidP="007E23E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firstLine="708"/>
        <w:jc w:val="both"/>
        <w:rPr>
          <w:rFonts w:eastAsia="Calibri"/>
          <w:b/>
          <w:bCs/>
          <w:i/>
          <w:iCs/>
          <w:lang w:val="uk-UA"/>
        </w:rPr>
      </w:pPr>
      <w:r>
        <w:rPr>
          <w:rFonts w:eastAsia="Calibri"/>
          <w:b/>
          <w:bCs/>
          <w:lang w:val="uk-UA"/>
        </w:rPr>
        <w:t>У</w:t>
      </w:r>
      <w:r w:rsidR="007E23E0" w:rsidRPr="005C5C6D">
        <w:rPr>
          <w:rFonts w:eastAsia="Calibri"/>
          <w:b/>
          <w:bCs/>
          <w:lang w:val="uk-UA"/>
        </w:rPr>
        <w:t>часник у складі тендерної пропозиції повинен надати</w:t>
      </w:r>
      <w:r w:rsidR="007E23E0" w:rsidRPr="005C5C6D">
        <w:rPr>
          <w:rFonts w:eastAsia="Calibri"/>
          <w:b/>
          <w:bCs/>
          <w:i/>
          <w:iCs/>
          <w:lang w:val="uk-UA"/>
        </w:rPr>
        <w:t>:</w:t>
      </w:r>
    </w:p>
    <w:p w:rsidR="007E23E0" w:rsidRPr="005C5C6D" w:rsidRDefault="007E23E0" w:rsidP="007E23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eastAsia="Calibri"/>
          <w:i/>
          <w:iCs/>
          <w:lang w:val="uk-UA"/>
        </w:rPr>
      </w:pPr>
    </w:p>
    <w:p w:rsidR="007E23E0" w:rsidRPr="005C5C6D" w:rsidRDefault="007E23E0" w:rsidP="007E23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709"/>
        <w:jc w:val="both"/>
        <w:rPr>
          <w:rFonts w:eastAsia="Calibri"/>
          <w:lang w:val="uk-UA"/>
        </w:rPr>
      </w:pPr>
      <w:r w:rsidRPr="00CC3EC7">
        <w:rPr>
          <w:rFonts w:eastAsia="Calibri"/>
        </w:rPr>
        <w:t>1</w:t>
      </w:r>
      <w:r w:rsidRPr="005C5C6D">
        <w:rPr>
          <w:rFonts w:eastAsia="Calibri"/>
          <w:lang w:val="uk-UA"/>
        </w:rPr>
        <w:t xml:space="preserve">) документ (документи), що підтверджує (підтверджують) якість товару: </w:t>
      </w:r>
      <w:r w:rsidR="00C562AE">
        <w:rPr>
          <w:rFonts w:eastAsia="Calibri"/>
          <w:lang w:val="uk-UA"/>
        </w:rPr>
        <w:t>копію</w:t>
      </w:r>
      <w:r w:rsidRPr="005C5C6D">
        <w:rPr>
          <w:rFonts w:eastAsia="Calibri"/>
          <w:lang w:val="uk-UA"/>
        </w:rPr>
        <w:t xml:space="preserve"> паспорта а</w:t>
      </w:r>
      <w:r>
        <w:rPr>
          <w:rFonts w:eastAsia="Calibri"/>
          <w:lang w:val="uk-UA"/>
        </w:rPr>
        <w:t>бо сертифіката якості виробника;</w:t>
      </w:r>
      <w:r w:rsidRPr="005C5C6D">
        <w:rPr>
          <w:rFonts w:eastAsia="Calibri"/>
          <w:lang w:val="uk-UA"/>
        </w:rPr>
        <w:t xml:space="preserve"> </w:t>
      </w:r>
    </w:p>
    <w:p w:rsidR="007E23E0" w:rsidRPr="005C5C6D" w:rsidRDefault="007E23E0" w:rsidP="007E23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51" w:firstLine="709"/>
        <w:jc w:val="both"/>
        <w:rPr>
          <w:rFonts w:eastAsia="Calibri"/>
          <w:kern w:val="2"/>
          <w:lang w:val="uk-UA" w:eastAsia="zh-CN"/>
        </w:rPr>
      </w:pPr>
    </w:p>
    <w:p w:rsidR="007E23E0" w:rsidRDefault="007E23E0" w:rsidP="00C6034C">
      <w:pPr>
        <w:spacing w:line="360" w:lineRule="auto"/>
        <w:ind w:left="-709" w:right="-62"/>
        <w:rPr>
          <w:rFonts w:eastAsiaTheme="minorEastAsia"/>
          <w:lang w:eastAsia="en-US"/>
        </w:rPr>
      </w:pPr>
      <w:r w:rsidRPr="005C5C6D">
        <w:rPr>
          <w:rFonts w:ascii="Calibri" w:eastAsia="Calibri" w:hAnsi="Calibri" w:cs="Calibri"/>
          <w:lang w:val="uk-UA"/>
        </w:rPr>
        <w:tab/>
      </w:r>
      <w:r w:rsidR="00C6034C">
        <w:rPr>
          <w:rFonts w:ascii="Calibri" w:eastAsia="Calibri" w:hAnsi="Calibri" w:cs="Calibri"/>
          <w:lang w:val="uk-UA"/>
        </w:rPr>
        <w:t xml:space="preserve">          </w:t>
      </w:r>
      <w:r w:rsidRPr="00CC3EC7">
        <w:rPr>
          <w:rFonts w:ascii="Calibri" w:eastAsia="Calibri" w:hAnsi="Calibri" w:cs="Calibri"/>
        </w:rPr>
        <w:t>2</w:t>
      </w:r>
      <w:r w:rsidRPr="005C5C6D">
        <w:rPr>
          <w:rFonts w:eastAsia="Calibri"/>
          <w:lang w:val="uk-UA"/>
        </w:rPr>
        <w:t xml:space="preserve">) </w:t>
      </w:r>
      <w:r>
        <w:rPr>
          <w:rFonts w:eastAsia="Calibri"/>
          <w:lang w:val="uk-UA"/>
        </w:rPr>
        <w:t>к</w:t>
      </w:r>
      <w:r w:rsidRPr="005C5C6D">
        <w:rPr>
          <w:rFonts w:eastAsia="Calibri"/>
          <w:lang w:val="uk-UA"/>
        </w:rPr>
        <w:t>опію ліцензії на торгівлю пальним.</w:t>
      </w:r>
    </w:p>
    <w:p w:rsidR="00AB40F4" w:rsidRDefault="00AB40F4" w:rsidP="00F333F1">
      <w:pPr>
        <w:tabs>
          <w:tab w:val="left" w:pos="-567"/>
          <w:tab w:val="left" w:pos="284"/>
          <w:tab w:val="left" w:pos="426"/>
        </w:tabs>
        <w:spacing w:after="200" w:line="259" w:lineRule="auto"/>
        <w:ind w:left="-851"/>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626B3" w:rsidRDefault="007626B3" w:rsidP="00FA4D47">
      <w:pPr>
        <w:tabs>
          <w:tab w:val="left" w:pos="0"/>
          <w:tab w:val="left" w:pos="142"/>
          <w:tab w:val="left" w:pos="284"/>
          <w:tab w:val="left" w:pos="426"/>
        </w:tabs>
        <w:spacing w:after="200" w:line="259" w:lineRule="auto"/>
        <w:contextualSpacing/>
        <w:jc w:val="both"/>
        <w:rPr>
          <w:rFonts w:eastAsiaTheme="minorEastAsia"/>
          <w:lang w:eastAsia="en-US"/>
        </w:rPr>
      </w:pPr>
    </w:p>
    <w:p w:rsidR="00783F15" w:rsidRDefault="00783F15" w:rsidP="00FA4D47">
      <w:pPr>
        <w:tabs>
          <w:tab w:val="left" w:pos="0"/>
          <w:tab w:val="left" w:pos="142"/>
          <w:tab w:val="left" w:pos="284"/>
          <w:tab w:val="left" w:pos="426"/>
        </w:tabs>
        <w:spacing w:after="200" w:line="259" w:lineRule="auto"/>
        <w:contextualSpacing/>
        <w:jc w:val="both"/>
        <w:rPr>
          <w:rFonts w:eastAsiaTheme="minorEastAsia"/>
          <w:lang w:eastAsia="en-US"/>
        </w:rPr>
      </w:pPr>
    </w:p>
    <w:p w:rsidR="00A76745" w:rsidRDefault="00A76745" w:rsidP="00FA4D47">
      <w:pPr>
        <w:tabs>
          <w:tab w:val="left" w:pos="0"/>
          <w:tab w:val="left" w:pos="142"/>
          <w:tab w:val="left" w:pos="284"/>
          <w:tab w:val="left" w:pos="426"/>
        </w:tabs>
        <w:spacing w:after="200" w:line="259" w:lineRule="auto"/>
        <w:contextualSpacing/>
        <w:jc w:val="both"/>
        <w:rPr>
          <w:rFonts w:eastAsiaTheme="minorEastAsia"/>
          <w:lang w:eastAsia="en-US"/>
        </w:rPr>
      </w:pPr>
    </w:p>
    <w:p w:rsidR="003A40CE" w:rsidRDefault="003A40CE" w:rsidP="00FA4D47">
      <w:pPr>
        <w:tabs>
          <w:tab w:val="left" w:pos="0"/>
          <w:tab w:val="left" w:pos="142"/>
          <w:tab w:val="left" w:pos="284"/>
          <w:tab w:val="left" w:pos="426"/>
        </w:tabs>
        <w:spacing w:after="200" w:line="259" w:lineRule="auto"/>
        <w:contextualSpacing/>
        <w:jc w:val="both"/>
        <w:rPr>
          <w:rFonts w:eastAsiaTheme="minorEastAsia"/>
          <w:lang w:eastAsia="en-US"/>
        </w:rPr>
      </w:pPr>
    </w:p>
    <w:p w:rsidR="003D18C4" w:rsidRDefault="003D18C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D69A7" w:rsidRDefault="00AD69A7" w:rsidP="00FA4D47">
      <w:pPr>
        <w:tabs>
          <w:tab w:val="left" w:pos="0"/>
          <w:tab w:val="left" w:pos="142"/>
          <w:tab w:val="left" w:pos="284"/>
          <w:tab w:val="left" w:pos="426"/>
        </w:tabs>
        <w:spacing w:after="200" w:line="259" w:lineRule="auto"/>
        <w:contextualSpacing/>
        <w:jc w:val="both"/>
        <w:rPr>
          <w:rFonts w:eastAsiaTheme="minorEastAsia"/>
          <w:lang w:eastAsia="en-US"/>
        </w:rPr>
      </w:pPr>
    </w:p>
    <w:p w:rsidR="00AD69A7" w:rsidRDefault="00AD69A7" w:rsidP="00FA4D47">
      <w:pPr>
        <w:tabs>
          <w:tab w:val="left" w:pos="0"/>
          <w:tab w:val="left" w:pos="142"/>
          <w:tab w:val="left" w:pos="284"/>
          <w:tab w:val="left" w:pos="426"/>
        </w:tabs>
        <w:spacing w:after="200" w:line="259" w:lineRule="auto"/>
        <w:contextualSpacing/>
        <w:jc w:val="both"/>
        <w:rPr>
          <w:rFonts w:eastAsiaTheme="minorEastAsia"/>
          <w:lang w:eastAsia="en-US"/>
        </w:rPr>
      </w:pPr>
    </w:p>
    <w:p w:rsidR="00AD69A7" w:rsidRDefault="00AD69A7" w:rsidP="00FA4D47">
      <w:pPr>
        <w:tabs>
          <w:tab w:val="left" w:pos="0"/>
          <w:tab w:val="left" w:pos="142"/>
          <w:tab w:val="left" w:pos="284"/>
          <w:tab w:val="left" w:pos="426"/>
        </w:tabs>
        <w:spacing w:after="200" w:line="259" w:lineRule="auto"/>
        <w:contextualSpacing/>
        <w:jc w:val="both"/>
        <w:rPr>
          <w:rFonts w:eastAsiaTheme="minorEastAsia"/>
          <w:lang w:eastAsia="en-US"/>
        </w:rPr>
      </w:pPr>
    </w:p>
    <w:p w:rsidR="00AD69A7" w:rsidRDefault="00AD69A7" w:rsidP="00FA4D47">
      <w:pPr>
        <w:tabs>
          <w:tab w:val="left" w:pos="0"/>
          <w:tab w:val="left" w:pos="142"/>
          <w:tab w:val="left" w:pos="284"/>
          <w:tab w:val="left" w:pos="426"/>
        </w:tabs>
        <w:spacing w:after="200" w:line="259" w:lineRule="auto"/>
        <w:contextualSpacing/>
        <w:jc w:val="both"/>
        <w:rPr>
          <w:rFonts w:eastAsiaTheme="minorEastAsia"/>
          <w:lang w:eastAsia="en-US"/>
        </w:rPr>
      </w:pPr>
    </w:p>
    <w:p w:rsidR="003D18C4" w:rsidRDefault="003D18C4" w:rsidP="00FA4D47">
      <w:pPr>
        <w:tabs>
          <w:tab w:val="left" w:pos="0"/>
          <w:tab w:val="left" w:pos="142"/>
          <w:tab w:val="left" w:pos="284"/>
          <w:tab w:val="left" w:pos="426"/>
        </w:tabs>
        <w:spacing w:after="200" w:line="259" w:lineRule="auto"/>
        <w:contextualSpacing/>
        <w:jc w:val="both"/>
        <w:rPr>
          <w:rFonts w:eastAsiaTheme="minorEastAsia"/>
          <w:lang w:eastAsia="en-US"/>
        </w:rPr>
      </w:pPr>
    </w:p>
    <w:p w:rsidR="003A40CE" w:rsidRPr="00545605" w:rsidRDefault="003A40CE" w:rsidP="00FA4D47">
      <w:pPr>
        <w:tabs>
          <w:tab w:val="left" w:pos="0"/>
          <w:tab w:val="left" w:pos="142"/>
          <w:tab w:val="left" w:pos="284"/>
          <w:tab w:val="left" w:pos="426"/>
        </w:tabs>
        <w:spacing w:after="200" w:line="259" w:lineRule="auto"/>
        <w:contextualSpacing/>
        <w:jc w:val="both"/>
        <w:rPr>
          <w:rFonts w:eastAsiaTheme="minorEastAsia"/>
          <w:lang w:eastAsia="en-US"/>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F37B60" w:rsidRPr="00022957" w:rsidRDefault="00F37B60" w:rsidP="00F37B60">
      <w:pPr>
        <w:widowControl w:val="0"/>
        <w:tabs>
          <w:tab w:val="left" w:pos="1080"/>
        </w:tabs>
        <w:snapToGrid w:val="0"/>
        <w:ind w:left="-567" w:right="-62" w:firstLine="709"/>
        <w:jc w:val="both"/>
      </w:pPr>
      <w:r w:rsidRPr="00022957">
        <w:t xml:space="preserve">______________________________________________________________, іменоване далі – “Постачальник”, в особі </w:t>
      </w:r>
      <w:r w:rsidRPr="00022957">
        <w:rPr>
          <w:color w:val="000000"/>
          <w:spacing w:val="-5"/>
        </w:rPr>
        <w:t>_______________________________</w:t>
      </w:r>
      <w:r w:rsidRPr="00022957">
        <w:t xml:space="preserve">, що діє на підставі ______________________, з однієї сторони, та </w:t>
      </w:r>
      <w:r w:rsidRPr="00022957">
        <w:rPr>
          <w:b/>
        </w:rPr>
        <w:t>Державне комунальне підприємство</w:t>
      </w:r>
      <w:r w:rsidRPr="00022957">
        <w:rPr>
          <w:b/>
          <w:color w:val="000000"/>
        </w:rPr>
        <w:t xml:space="preserve"> “Луцьктепло”</w:t>
      </w:r>
      <w:r w:rsidRPr="00022957">
        <w:t xml:space="preserve">, іменоване в подальшому “Покупець”, в </w:t>
      </w:r>
      <w:proofErr w:type="gramStart"/>
      <w:r w:rsidRPr="00022957">
        <w:t>особі  директора</w:t>
      </w:r>
      <w:proofErr w:type="gramEnd"/>
      <w:r w:rsidRPr="00022957">
        <w:t xml:space="preserve"> Скорупського І.А., </w:t>
      </w:r>
      <w:r w:rsidRPr="00A212C0">
        <w:t>що діє на підставі Статуту, з другої сторони, уклали цей Договір про наведене нижче:</w:t>
      </w:r>
    </w:p>
    <w:p w:rsidR="00F37B60" w:rsidRPr="00022957" w:rsidRDefault="00F37B60" w:rsidP="00F37B60">
      <w:pPr>
        <w:numPr>
          <w:ilvl w:val="0"/>
          <w:numId w:val="3"/>
        </w:numPr>
        <w:tabs>
          <w:tab w:val="left" w:pos="1080"/>
        </w:tabs>
        <w:ind w:left="-567" w:right="-62" w:firstLine="709"/>
        <w:jc w:val="center"/>
        <w:rPr>
          <w:b/>
        </w:rPr>
      </w:pPr>
      <w:r w:rsidRPr="00022957">
        <w:rPr>
          <w:b/>
        </w:rPr>
        <w:t>ПРЕДМЕТ ДОГОВОРУ</w:t>
      </w:r>
    </w:p>
    <w:p w:rsidR="00F37B60" w:rsidRPr="00022957" w:rsidRDefault="00F37B60" w:rsidP="00F37B60">
      <w:pPr>
        <w:tabs>
          <w:tab w:val="left" w:pos="1080"/>
        </w:tabs>
        <w:ind w:left="-567" w:right="-62" w:firstLine="709"/>
        <w:jc w:val="both"/>
      </w:pPr>
      <w:r w:rsidRPr="00022957">
        <w:t>1.</w:t>
      </w:r>
      <w:proofErr w:type="gramStart"/>
      <w:r w:rsidRPr="00022957">
        <w:t>1.</w:t>
      </w:r>
      <w:r w:rsidRPr="00022957">
        <w:rPr>
          <w:snapToGrid w:val="0"/>
        </w:rPr>
        <w:t>Постачальник</w:t>
      </w:r>
      <w:proofErr w:type="gramEnd"/>
      <w:r w:rsidRPr="00022957">
        <w:rPr>
          <w:snapToGrid w:val="0"/>
        </w:rPr>
        <w:t xml:space="preserve">, зобов’язується поставити Покупцю  </w:t>
      </w:r>
      <w:r w:rsidR="0059449F">
        <w:rPr>
          <w:snapToGrid w:val="0"/>
          <w:lang w:val="uk-UA"/>
        </w:rPr>
        <w:t>___________</w:t>
      </w:r>
      <w:r w:rsidRPr="00022957">
        <w:rPr>
          <w:snapToGrid w:val="0"/>
        </w:rPr>
        <w:t xml:space="preserve"> відповідно до ДК 021:2015 код 09120000-6 Газове паливо (надалі Товар) за ціною та кількістю зазначених в </w:t>
      </w:r>
      <w:r w:rsidRPr="00A212C0">
        <w:rPr>
          <w:snapToGrid w:val="0"/>
        </w:rPr>
        <w:t>Додатку №1 до Договору</w:t>
      </w:r>
      <w:r w:rsidRPr="00022957">
        <w:rPr>
          <w:snapToGrid w:val="0"/>
        </w:rPr>
        <w:t>, а Покупець зобов’язується прийняти Товар від Постачальника та оплатити його вартість на умовах цього Договору</w:t>
      </w:r>
      <w:r w:rsidRPr="00022957">
        <w:t>.</w:t>
      </w:r>
    </w:p>
    <w:p w:rsidR="00F37B60" w:rsidRPr="00022957" w:rsidRDefault="00F37B60" w:rsidP="00F37B60">
      <w:pPr>
        <w:tabs>
          <w:tab w:val="num" w:pos="0"/>
          <w:tab w:val="left" w:pos="900"/>
        </w:tabs>
        <w:ind w:left="-567" w:right="-62" w:firstLine="709"/>
        <w:jc w:val="center"/>
        <w:rPr>
          <w:b/>
        </w:rPr>
      </w:pPr>
      <w:r w:rsidRPr="00022957">
        <w:rPr>
          <w:b/>
        </w:rPr>
        <w:t xml:space="preserve">2. ЦІНА ТОВАРУ ТА ЗАГАЛЬНА СУМА ДОГОВОРУ </w:t>
      </w:r>
    </w:p>
    <w:p w:rsidR="00F37B60" w:rsidRPr="00B4290D" w:rsidRDefault="00F37B60" w:rsidP="00F37B60">
      <w:pPr>
        <w:tabs>
          <w:tab w:val="num" w:pos="0"/>
          <w:tab w:val="left" w:pos="900"/>
        </w:tabs>
        <w:ind w:left="-567" w:right="-62" w:firstLine="709"/>
        <w:jc w:val="both"/>
      </w:pPr>
      <w:r w:rsidRPr="00022957">
        <w:t xml:space="preserve">2.1. </w:t>
      </w:r>
      <w:r w:rsidRPr="00A212C0">
        <w:t>Ціна за одиницю може змінюватися після підписання Договору, шляхом укладання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37B60" w:rsidRPr="00022957" w:rsidRDefault="00F37B60" w:rsidP="00F37B60">
      <w:pPr>
        <w:tabs>
          <w:tab w:val="num" w:pos="0"/>
          <w:tab w:val="left" w:pos="900"/>
        </w:tabs>
        <w:ind w:left="-567" w:right="-62" w:firstLine="709"/>
        <w:jc w:val="both"/>
      </w:pPr>
      <w:r w:rsidRPr="00022957">
        <w:t>2.2. Загальна вартість Договору складає суму ___________________грн.</w:t>
      </w:r>
    </w:p>
    <w:p w:rsidR="00F37B60" w:rsidRPr="00022957" w:rsidRDefault="00F37B60" w:rsidP="00F37B60">
      <w:pPr>
        <w:tabs>
          <w:tab w:val="num" w:pos="0"/>
          <w:tab w:val="left" w:pos="900"/>
        </w:tabs>
        <w:ind w:left="-567" w:right="-62" w:firstLine="709"/>
        <w:jc w:val="both"/>
      </w:pPr>
      <w:r w:rsidRPr="00022957">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F37B60" w:rsidRPr="00022957" w:rsidRDefault="00F37B60" w:rsidP="00F37B60">
      <w:pPr>
        <w:tabs>
          <w:tab w:val="num" w:pos="0"/>
          <w:tab w:val="left" w:pos="900"/>
        </w:tabs>
        <w:ind w:left="-567" w:right="-62" w:firstLine="709"/>
        <w:jc w:val="center"/>
        <w:rPr>
          <w:b/>
        </w:rPr>
      </w:pPr>
      <w:r w:rsidRPr="00022957">
        <w:rPr>
          <w:b/>
        </w:rPr>
        <w:t>3. ЯКІСТЬ І КОМПЛЕКТНІСТЬ ТОВАРУ</w:t>
      </w:r>
    </w:p>
    <w:p w:rsidR="00F37B60" w:rsidRPr="00022957" w:rsidRDefault="00F37B60" w:rsidP="00F37B60">
      <w:pPr>
        <w:tabs>
          <w:tab w:val="num" w:pos="0"/>
          <w:tab w:val="left" w:pos="900"/>
        </w:tabs>
        <w:ind w:left="-567" w:right="-62" w:firstLine="709"/>
        <w:jc w:val="both"/>
      </w:pPr>
      <w:r w:rsidRPr="00022957">
        <w:t xml:space="preserve">3.1. Якість Товару, що постачається згідно з цим Договором, повинна відповідати </w:t>
      </w:r>
      <w:r w:rsidRPr="003F1108">
        <w:t>ДСТУ 4047-2001</w:t>
      </w:r>
      <w:r w:rsidRPr="007B4636">
        <w:t xml:space="preserve"> та </w:t>
      </w:r>
      <w:proofErr w:type="gramStart"/>
      <w:r w:rsidRPr="007B4636">
        <w:t>підтверджуватись  паспортом</w:t>
      </w:r>
      <w:proofErr w:type="gramEnd"/>
      <w:r w:rsidRPr="007B4636">
        <w:t xml:space="preserve"> або сертифікатом якості заводу-виробника</w:t>
      </w:r>
      <w:r w:rsidRPr="00022957">
        <w:t xml:space="preserve">, який додається до супровідних документів на кожну партію Товару. </w:t>
      </w:r>
    </w:p>
    <w:p w:rsidR="00F37B60" w:rsidRPr="00022957" w:rsidRDefault="00F37B60" w:rsidP="00F37B60">
      <w:pPr>
        <w:tabs>
          <w:tab w:val="num" w:pos="0"/>
          <w:tab w:val="left" w:pos="900"/>
        </w:tabs>
        <w:ind w:left="-567" w:right="-62" w:firstLine="709"/>
        <w:jc w:val="both"/>
      </w:pPr>
      <w:r w:rsidRPr="00022957">
        <w:t xml:space="preserve">3.2. Претензії до якості Товару можуть бути направлені Покупцем </w:t>
      </w:r>
      <w:proofErr w:type="gramStart"/>
      <w:r w:rsidRPr="00022957">
        <w:t>на адресу</w:t>
      </w:r>
      <w:proofErr w:type="gramEnd"/>
      <w:r w:rsidRPr="00022957">
        <w:t xml:space="preserve"> Постачальника протягом 30-ти (тридцяти) календарних днів із моменту виявлення недоліків.</w:t>
      </w:r>
    </w:p>
    <w:p w:rsidR="00F37B60" w:rsidRPr="00022957" w:rsidRDefault="00F37B60" w:rsidP="00F37B60">
      <w:pPr>
        <w:tabs>
          <w:tab w:val="num" w:pos="0"/>
          <w:tab w:val="left" w:pos="900"/>
        </w:tabs>
        <w:ind w:left="-567" w:right="-62" w:firstLine="709"/>
        <w:jc w:val="both"/>
      </w:pPr>
      <w:r w:rsidRPr="00022957">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w:t>
      </w:r>
      <w:proofErr w:type="gramStart"/>
      <w:r w:rsidRPr="00022957">
        <w:t>у порядку</w:t>
      </w:r>
      <w:proofErr w:type="gramEnd"/>
      <w:r w:rsidRPr="00022957">
        <w:t xml:space="preserve"> та в строки, встановлені пунктом 6.3 цього Договору</w:t>
      </w:r>
    </w:p>
    <w:p w:rsidR="00F37B60" w:rsidRPr="00022957" w:rsidRDefault="00F37B60" w:rsidP="00F37B60">
      <w:pPr>
        <w:tabs>
          <w:tab w:val="num" w:pos="0"/>
          <w:tab w:val="left" w:pos="900"/>
        </w:tabs>
        <w:ind w:left="-567" w:right="-62" w:firstLine="709"/>
        <w:jc w:val="both"/>
      </w:pPr>
      <w:r w:rsidRPr="00022957">
        <w:t xml:space="preserve">3.4. </w:t>
      </w:r>
      <w:r w:rsidRPr="007B4636">
        <w:t>Гарантійний термін на Товар за цим Договором складає 12 місяців і починає свій перебіг з моменту фактичної передачі Товару Покупцю.</w:t>
      </w:r>
    </w:p>
    <w:p w:rsidR="00F37B60" w:rsidRPr="00022957" w:rsidRDefault="00F37B60" w:rsidP="00F37B60">
      <w:pPr>
        <w:tabs>
          <w:tab w:val="num" w:pos="0"/>
          <w:tab w:val="left" w:pos="900"/>
        </w:tabs>
        <w:ind w:left="-567" w:right="-62" w:firstLine="709"/>
        <w:jc w:val="center"/>
        <w:rPr>
          <w:b/>
        </w:rPr>
      </w:pPr>
      <w:r w:rsidRPr="00022957">
        <w:rPr>
          <w:b/>
        </w:rPr>
        <w:t>4. ПОСТАВКА ТОВАРУ</w:t>
      </w:r>
    </w:p>
    <w:p w:rsidR="00F37B60" w:rsidRPr="00022957" w:rsidRDefault="00F37B60" w:rsidP="00F37B60">
      <w:pPr>
        <w:tabs>
          <w:tab w:val="left" w:pos="1080"/>
        </w:tabs>
        <w:ind w:left="-567" w:right="-62" w:firstLine="709"/>
        <w:jc w:val="both"/>
      </w:pPr>
      <w:r w:rsidRPr="00022957">
        <w:t>4.1. Поставка Товару здійснюється</w:t>
      </w:r>
      <w:r w:rsidR="00507447">
        <w:rPr>
          <w:lang w:val="uk-UA"/>
        </w:rPr>
        <w:t xml:space="preserve"> протягом 2024 року</w:t>
      </w:r>
      <w:r w:rsidRPr="00022957">
        <w:t xml:space="preserve"> партіями відповідно до потреби Покупця та за його окремими заявками</w:t>
      </w:r>
      <w:r w:rsidR="00507447">
        <w:rPr>
          <w:lang w:val="uk-UA"/>
        </w:rPr>
        <w:t xml:space="preserve"> один раз на місяць</w:t>
      </w:r>
      <w:r w:rsidRPr="00022957">
        <w:t>.</w:t>
      </w:r>
    </w:p>
    <w:p w:rsidR="00F37B60" w:rsidRPr="00022957" w:rsidRDefault="00F37B60" w:rsidP="00F37B60">
      <w:pPr>
        <w:tabs>
          <w:tab w:val="num" w:pos="0"/>
          <w:tab w:val="left" w:pos="900"/>
        </w:tabs>
        <w:ind w:left="-567" w:right="-62" w:firstLine="709"/>
        <w:jc w:val="both"/>
      </w:pPr>
      <w:r w:rsidRPr="00022957">
        <w:t xml:space="preserve">4.2. Поставка товару здійснюється окремими партіями протягом </w:t>
      </w:r>
      <w:r w:rsidRPr="00AD69A7">
        <w:rPr>
          <w:lang w:val="uk-UA"/>
        </w:rPr>
        <w:t>10</w:t>
      </w:r>
      <w:r>
        <w:rPr>
          <w:lang w:val="uk-UA"/>
        </w:rPr>
        <w:t xml:space="preserve"> </w:t>
      </w:r>
      <w:r w:rsidRPr="00022957">
        <w:t>(д</w:t>
      </w:r>
      <w:r w:rsidR="00AD69A7">
        <w:rPr>
          <w:lang w:val="uk-UA"/>
        </w:rPr>
        <w:t>есяти</w:t>
      </w:r>
      <w:r w:rsidRPr="00022957">
        <w:t xml:space="preserve">) робочих днів з дати отримання заявки, шляхом обміну пустих балонів Покупця на заправлені балони Постачальника. Мінімальна кількість Товару в кожній окремій партії, що поставляється, повинна бути не </w:t>
      </w:r>
      <w:r w:rsidRPr="0092138F">
        <w:t xml:space="preserve">менше </w:t>
      </w:r>
      <w:r w:rsidRPr="0092138F">
        <w:rPr>
          <w:lang w:val="uk-UA"/>
        </w:rPr>
        <w:t xml:space="preserve">8 </w:t>
      </w:r>
      <w:r w:rsidRPr="0092138F">
        <w:t>(</w:t>
      </w:r>
      <w:r w:rsidR="0092138F" w:rsidRPr="0092138F">
        <w:rPr>
          <w:lang w:val="uk-UA"/>
        </w:rPr>
        <w:t>в</w:t>
      </w:r>
      <w:r w:rsidR="00755580">
        <w:rPr>
          <w:lang w:val="uk-UA"/>
        </w:rPr>
        <w:t>о</w:t>
      </w:r>
      <w:r w:rsidR="0092138F" w:rsidRPr="0092138F">
        <w:rPr>
          <w:lang w:val="uk-UA"/>
        </w:rPr>
        <w:t>сьми</w:t>
      </w:r>
      <w:r w:rsidRPr="0092138F">
        <w:t>) балонів</w:t>
      </w:r>
      <w:r w:rsidRPr="00022957">
        <w:t xml:space="preserve">.                         </w:t>
      </w:r>
    </w:p>
    <w:p w:rsidR="00F37B60" w:rsidRPr="00022957" w:rsidRDefault="00F37B60" w:rsidP="00F37B60">
      <w:pPr>
        <w:tabs>
          <w:tab w:val="num" w:pos="0"/>
          <w:tab w:val="left" w:pos="900"/>
        </w:tabs>
        <w:ind w:left="-567" w:right="-62" w:firstLine="709"/>
        <w:jc w:val="both"/>
      </w:pPr>
      <w:r w:rsidRPr="00022957">
        <w:t>4.3. Постачальник зобов’язаний поставити Товар своїм (або окремо найманим) транспортом за власний рахунок на склад Покупця за адресою: 43005, м. Луцьк, вул. Гулака-Артемовського, 20.</w:t>
      </w:r>
    </w:p>
    <w:p w:rsidR="00F37B60" w:rsidRPr="00022957" w:rsidRDefault="00F37B60" w:rsidP="00F37B60">
      <w:pPr>
        <w:tabs>
          <w:tab w:val="num" w:pos="0"/>
          <w:tab w:val="left" w:pos="900"/>
        </w:tabs>
        <w:ind w:left="-567" w:right="-62" w:firstLine="709"/>
        <w:jc w:val="both"/>
      </w:pPr>
      <w:r w:rsidRPr="00022957">
        <w:t>4.4. Датою поставки Товару є дата підписання Покупцем видаткової накладної.</w:t>
      </w:r>
    </w:p>
    <w:p w:rsidR="00F37B60" w:rsidRPr="00022957" w:rsidRDefault="00F37B60" w:rsidP="00F37B60">
      <w:pPr>
        <w:tabs>
          <w:tab w:val="num" w:pos="0"/>
          <w:tab w:val="left" w:pos="900"/>
        </w:tabs>
        <w:ind w:left="-567" w:right="-62" w:firstLine="709"/>
        <w:jc w:val="both"/>
      </w:pPr>
      <w:r w:rsidRPr="00022957">
        <w:t xml:space="preserve">4.5. На кожну партію Товару Постачальник в обов’язковому порядку надає Покупцю наступні документи: </w:t>
      </w:r>
      <w:r w:rsidRPr="007B4636">
        <w:t>рахунок-фактуру, видаткову накладну, паспорт або сертифікат якості/відповідності.</w:t>
      </w:r>
    </w:p>
    <w:p w:rsidR="00F37B60" w:rsidRPr="00022957" w:rsidRDefault="00F37B60" w:rsidP="00F37B60">
      <w:pPr>
        <w:tabs>
          <w:tab w:val="num" w:pos="0"/>
          <w:tab w:val="left" w:pos="900"/>
        </w:tabs>
        <w:ind w:left="-567" w:right="-62" w:firstLine="709"/>
        <w:jc w:val="both"/>
      </w:pPr>
      <w:r w:rsidRPr="00022957">
        <w:t>4.6. У разі ненадходження від Покупця заявок на поставку Товару, Постачальник не здійснює його постачання.</w:t>
      </w:r>
    </w:p>
    <w:p w:rsidR="00F37B60" w:rsidRPr="00022957" w:rsidRDefault="00F37B60" w:rsidP="00F37B60">
      <w:pPr>
        <w:tabs>
          <w:tab w:val="num" w:pos="0"/>
          <w:tab w:val="left" w:pos="900"/>
        </w:tabs>
        <w:ind w:left="-567" w:right="-62" w:firstLine="709"/>
        <w:jc w:val="both"/>
      </w:pPr>
      <w:r w:rsidRPr="00022957">
        <w:lastRenderedPageBreak/>
        <w:t>4.7</w:t>
      </w:r>
      <w:r w:rsidRPr="00022957">
        <w:tab/>
        <w:t>Балони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F37B60" w:rsidRPr="00022957" w:rsidRDefault="00F37B60" w:rsidP="00F37B60">
      <w:pPr>
        <w:tabs>
          <w:tab w:val="num" w:pos="0"/>
          <w:tab w:val="left" w:pos="900"/>
        </w:tabs>
        <w:ind w:left="-567" w:right="-62" w:firstLine="709"/>
        <w:jc w:val="both"/>
      </w:pPr>
      <w:r w:rsidRPr="00022957">
        <w:t>На зовнішній частині кожного балону повинні бути чітко видні наступні написи:</w:t>
      </w:r>
    </w:p>
    <w:p w:rsidR="00F37B60" w:rsidRPr="00022957" w:rsidRDefault="00F37B60" w:rsidP="00F37B60">
      <w:pPr>
        <w:tabs>
          <w:tab w:val="num" w:pos="0"/>
          <w:tab w:val="left" w:pos="900"/>
        </w:tabs>
        <w:ind w:left="-567" w:right="-62" w:firstLine="709"/>
        <w:jc w:val="both"/>
      </w:pPr>
      <w:r w:rsidRPr="00022957">
        <w:t>- товарний знак виробника балону;</w:t>
      </w:r>
    </w:p>
    <w:p w:rsidR="00F37B60" w:rsidRPr="00022957" w:rsidRDefault="00F37B60" w:rsidP="00F37B60">
      <w:pPr>
        <w:tabs>
          <w:tab w:val="num" w:pos="0"/>
          <w:tab w:val="left" w:pos="900"/>
        </w:tabs>
        <w:ind w:left="-567" w:right="-62" w:firstLine="709"/>
        <w:jc w:val="both"/>
      </w:pPr>
      <w:r w:rsidRPr="00022957">
        <w:t>- номер балону;</w:t>
      </w:r>
    </w:p>
    <w:p w:rsidR="00F37B60" w:rsidRPr="00022957" w:rsidRDefault="00F37B60" w:rsidP="00F37B60">
      <w:pPr>
        <w:tabs>
          <w:tab w:val="num" w:pos="0"/>
          <w:tab w:val="left" w:pos="900"/>
        </w:tabs>
        <w:ind w:left="-567" w:right="-62" w:firstLine="709"/>
        <w:jc w:val="both"/>
      </w:pPr>
      <w:r w:rsidRPr="00022957">
        <w:t>- маса порожнього балону;</w:t>
      </w:r>
    </w:p>
    <w:p w:rsidR="00F37B60" w:rsidRPr="00022957" w:rsidRDefault="00F37B60" w:rsidP="00F37B60">
      <w:pPr>
        <w:tabs>
          <w:tab w:val="num" w:pos="0"/>
          <w:tab w:val="left" w:pos="900"/>
        </w:tabs>
        <w:ind w:left="-567" w:right="-62" w:firstLine="709"/>
        <w:jc w:val="both"/>
      </w:pPr>
      <w:r w:rsidRPr="00022957">
        <w:t>- дата виготовлення і наступного опосвідчення;</w:t>
      </w:r>
    </w:p>
    <w:p w:rsidR="00F37B60" w:rsidRPr="00022957" w:rsidRDefault="00F37B60" w:rsidP="00F37B60">
      <w:pPr>
        <w:tabs>
          <w:tab w:val="num" w:pos="0"/>
          <w:tab w:val="left" w:pos="900"/>
        </w:tabs>
        <w:ind w:left="-567" w:right="-62" w:firstLine="709"/>
        <w:jc w:val="both"/>
      </w:pPr>
      <w:r w:rsidRPr="00022957">
        <w:t>- робочий тиск;</w:t>
      </w:r>
    </w:p>
    <w:p w:rsidR="00F37B60" w:rsidRPr="00022957" w:rsidRDefault="00F37B60" w:rsidP="00F37B60">
      <w:pPr>
        <w:tabs>
          <w:tab w:val="num" w:pos="0"/>
          <w:tab w:val="left" w:pos="900"/>
        </w:tabs>
        <w:ind w:left="-567" w:right="-62" w:firstLine="709"/>
        <w:jc w:val="both"/>
      </w:pPr>
      <w:r w:rsidRPr="00022957">
        <w:t>- місткість балону;</w:t>
      </w:r>
    </w:p>
    <w:p w:rsidR="00F37B60" w:rsidRPr="00022957" w:rsidRDefault="00F37B60" w:rsidP="00F37B60">
      <w:pPr>
        <w:tabs>
          <w:tab w:val="num" w:pos="0"/>
          <w:tab w:val="left" w:pos="900"/>
        </w:tabs>
        <w:ind w:left="-567" w:right="-62" w:firstLine="709"/>
        <w:jc w:val="both"/>
      </w:pPr>
      <w:r w:rsidRPr="00022957">
        <w:t xml:space="preserve">- клеймо ВТК виробника. </w:t>
      </w:r>
    </w:p>
    <w:p w:rsidR="00F37B60" w:rsidRPr="00022957" w:rsidRDefault="00F37B60" w:rsidP="00F37B60">
      <w:pPr>
        <w:tabs>
          <w:tab w:val="num" w:pos="0"/>
          <w:tab w:val="left" w:pos="900"/>
        </w:tabs>
        <w:ind w:left="-567" w:right="-62" w:firstLine="709"/>
        <w:jc w:val="both"/>
      </w:pPr>
      <w:r w:rsidRPr="00022957">
        <w:t>4.8</w:t>
      </w:r>
      <w:r w:rsidRPr="00022957">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F37B60" w:rsidRPr="007B4636" w:rsidRDefault="00F37B60" w:rsidP="00F37B60">
      <w:pPr>
        <w:tabs>
          <w:tab w:val="num" w:pos="0"/>
          <w:tab w:val="left" w:pos="900"/>
        </w:tabs>
        <w:ind w:left="-567" w:right="-62" w:firstLine="709"/>
        <w:jc w:val="both"/>
      </w:pPr>
      <w:r w:rsidRPr="00022957">
        <w:t>4.9</w:t>
      </w:r>
      <w:r w:rsidRPr="00022957">
        <w:rPr>
          <w:sz w:val="20"/>
          <w:szCs w:val="20"/>
        </w:rPr>
        <w:t xml:space="preserve"> </w:t>
      </w:r>
      <w:r w:rsidRPr="007B4636">
        <w:t>Закiнчення тepмiнy опосвiдчення (випробування) балонiв має бути не менше 12 мiсяцiв з</w:t>
      </w:r>
    </w:p>
    <w:p w:rsidR="00F37B60" w:rsidRPr="00022957" w:rsidRDefault="00F37B60" w:rsidP="00F37B60">
      <w:pPr>
        <w:tabs>
          <w:tab w:val="num" w:pos="0"/>
          <w:tab w:val="left" w:pos="900"/>
        </w:tabs>
        <w:ind w:left="-567" w:right="-62" w:firstLine="709"/>
        <w:jc w:val="both"/>
      </w:pPr>
      <w:r w:rsidRPr="007B4636">
        <w:t>дати поставки Товару Постачальником.</w:t>
      </w:r>
    </w:p>
    <w:p w:rsidR="00F37B60" w:rsidRPr="00022957" w:rsidRDefault="00F37B60" w:rsidP="00F37B60">
      <w:pPr>
        <w:ind w:left="-567" w:right="43"/>
        <w:jc w:val="center"/>
        <w:rPr>
          <w:b/>
        </w:rPr>
      </w:pPr>
      <w:r w:rsidRPr="00022957">
        <w:rPr>
          <w:b/>
        </w:rPr>
        <w:t xml:space="preserve">5. ПОРЯДОК РОЗРАХУНКІВ ЗА ДОГОВОРОМ </w:t>
      </w:r>
    </w:p>
    <w:p w:rsidR="00F37B60" w:rsidRPr="00022957" w:rsidRDefault="00F37B60" w:rsidP="00F37B60">
      <w:pPr>
        <w:ind w:left="-567" w:right="43" w:firstLine="709"/>
        <w:jc w:val="both"/>
      </w:pPr>
      <w:r w:rsidRPr="00022957">
        <w:t xml:space="preserve">5.1. Розрахунки за кожну партію Товару здійснюються Покупцем в безготівковому порядку за рахунок власних коштів шляхом перерахування на поточний рахунок Постачальника на підставі рахунку-фактури, наданого на відповідну партію Товару.   </w:t>
      </w:r>
    </w:p>
    <w:p w:rsidR="00F37B60" w:rsidRPr="00022957" w:rsidRDefault="00F37B60" w:rsidP="00F37B60">
      <w:pPr>
        <w:ind w:left="-567" w:right="43" w:firstLine="709"/>
        <w:jc w:val="both"/>
      </w:pPr>
      <w:r w:rsidRPr="00022957">
        <w:t xml:space="preserve">5.2. Покупець здійснює оплату Товару на умовах </w:t>
      </w:r>
      <w:r w:rsidRPr="00446C5E">
        <w:t xml:space="preserve">100% післяоплати його вартості </w:t>
      </w:r>
      <w:proofErr w:type="gramStart"/>
      <w:r w:rsidRPr="00446C5E">
        <w:t xml:space="preserve">протягом </w:t>
      </w:r>
      <w:r>
        <w:t xml:space="preserve"> 5</w:t>
      </w:r>
      <w:proofErr w:type="gramEnd"/>
      <w:r w:rsidRPr="00446C5E">
        <w:t xml:space="preserve"> (</w:t>
      </w:r>
      <w:r>
        <w:t>п</w:t>
      </w:r>
      <w:r w:rsidRPr="00CB603E">
        <w:t>’</w:t>
      </w:r>
      <w:r>
        <w:t>яти</w:t>
      </w:r>
      <w:r w:rsidRPr="00446C5E">
        <w:t>) банківських днів з моменту отримання партії Товару.</w:t>
      </w:r>
    </w:p>
    <w:p w:rsidR="00F37B60" w:rsidRPr="00022957" w:rsidRDefault="00F37B60" w:rsidP="00F37B60">
      <w:pPr>
        <w:ind w:left="-567" w:right="43" w:firstLine="709"/>
        <w:jc w:val="both"/>
      </w:pPr>
      <w:r w:rsidRPr="00022957">
        <w:t>5.3. Датою оплати вважається дата зарахування коштів на розрахунковий рахунок Постачальника.</w:t>
      </w:r>
    </w:p>
    <w:p w:rsidR="00F37B60" w:rsidRPr="00022957" w:rsidRDefault="00F37B60" w:rsidP="00F37B60">
      <w:pPr>
        <w:ind w:left="-567" w:right="43" w:firstLine="709"/>
        <w:jc w:val="both"/>
      </w:pPr>
      <w:r w:rsidRPr="00022957">
        <w:t xml:space="preserve">5.4.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F37B60" w:rsidRPr="00022957" w:rsidRDefault="00F37B60" w:rsidP="00F37B60">
      <w:pPr>
        <w:tabs>
          <w:tab w:val="num" w:pos="0"/>
          <w:tab w:val="left" w:pos="900"/>
          <w:tab w:val="left" w:pos="1080"/>
        </w:tabs>
        <w:ind w:left="-567" w:right="-62"/>
        <w:jc w:val="center"/>
        <w:rPr>
          <w:b/>
        </w:rPr>
      </w:pPr>
      <w:r w:rsidRPr="00022957">
        <w:rPr>
          <w:b/>
        </w:rPr>
        <w:t xml:space="preserve">6. ПРИЙМАННЯ-ПЕРЕДАЧА ТОВАРУ </w:t>
      </w:r>
    </w:p>
    <w:p w:rsidR="00F37B60" w:rsidRPr="00022957" w:rsidRDefault="00F37B60" w:rsidP="00F37B60">
      <w:pPr>
        <w:tabs>
          <w:tab w:val="left" w:pos="1080"/>
        </w:tabs>
        <w:ind w:left="-567" w:right="-62" w:firstLine="709"/>
        <w:jc w:val="both"/>
      </w:pPr>
      <w:r w:rsidRPr="00022957">
        <w:t>6.1. Приймання Товару за кількістю</w:t>
      </w:r>
      <w:r w:rsidR="007E2AED">
        <w:t xml:space="preserve"> та якістю Покупець здійснює </w:t>
      </w:r>
      <w:r w:rsidRPr="00022957">
        <w:t xml:space="preserve">у місці отримання згідно з Інструкцією про порядок приймання товару виробничо-технічного призначення і товарів народного споживання по </w:t>
      </w:r>
      <w:proofErr w:type="gramStart"/>
      <w:r w:rsidRPr="00022957">
        <w:t>якості,  №</w:t>
      </w:r>
      <w:proofErr w:type="gramEnd"/>
      <w:r w:rsidRPr="00022957">
        <w:t xml:space="preserve"> П-7, Інструкцією про порядок приймання товару виробничо-технічного призначення і товарів народного споживання, № П-6.</w:t>
      </w:r>
    </w:p>
    <w:p w:rsidR="00F37B60" w:rsidRPr="00022957" w:rsidRDefault="00F37B60" w:rsidP="00F37B60">
      <w:pPr>
        <w:tabs>
          <w:tab w:val="left" w:pos="1080"/>
        </w:tabs>
        <w:ind w:left="-567" w:right="-62" w:firstLine="709"/>
        <w:jc w:val="both"/>
      </w:pPr>
      <w:r w:rsidRPr="00022957">
        <w:t>6.2. Право власності на Товар та усі ризики, пов’язані із ним, виникають у Покупця в момент передачі йому Товару Постачальником, що фіксується видатковою накладною про приймання товару та/або Актом приймання-передачі товару.</w:t>
      </w:r>
    </w:p>
    <w:p w:rsidR="00F37B60" w:rsidRPr="00022957" w:rsidRDefault="00F37B60" w:rsidP="00F37B60">
      <w:pPr>
        <w:tabs>
          <w:tab w:val="left" w:pos="1080"/>
        </w:tabs>
        <w:ind w:left="-567" w:right="-62" w:firstLine="709"/>
        <w:jc w:val="both"/>
      </w:pPr>
      <w:r w:rsidRPr="00022957">
        <w:t xml:space="preserve">6.3. У випадку поставки неякісного Товару Постачальник зобов’язується на письмову вимогу Покупця здійснити його заміну на товар належної якості протягом 15 календарних днів з моменту отримання відповідної вимоги та відшкодувати понесені Покупцем збитки. </w:t>
      </w:r>
    </w:p>
    <w:p w:rsidR="00F37B60" w:rsidRPr="00022957" w:rsidRDefault="00F37B60" w:rsidP="00F37B60">
      <w:pPr>
        <w:tabs>
          <w:tab w:val="left" w:pos="1080"/>
        </w:tabs>
        <w:ind w:left="-567" w:right="-62"/>
        <w:jc w:val="both"/>
      </w:pPr>
    </w:p>
    <w:p w:rsidR="00F37B60" w:rsidRPr="00022957" w:rsidRDefault="00F37B60" w:rsidP="00F37B60">
      <w:pPr>
        <w:tabs>
          <w:tab w:val="left" w:pos="1080"/>
        </w:tabs>
        <w:ind w:left="-567" w:right="-62"/>
        <w:jc w:val="center"/>
        <w:rPr>
          <w:b/>
        </w:rPr>
      </w:pPr>
      <w:r w:rsidRPr="00022957">
        <w:rPr>
          <w:b/>
        </w:rPr>
        <w:t xml:space="preserve">7. ВІДПОВІДАЛЬНІСТЬ СТОРІН </w:t>
      </w:r>
    </w:p>
    <w:p w:rsidR="00F37B60" w:rsidRPr="00022957" w:rsidRDefault="00F37B60" w:rsidP="00F37B60">
      <w:pPr>
        <w:tabs>
          <w:tab w:val="left" w:pos="1080"/>
        </w:tabs>
        <w:ind w:left="-567" w:right="-62"/>
        <w:jc w:val="center"/>
        <w:rPr>
          <w:b/>
        </w:rPr>
      </w:pPr>
      <w:r w:rsidRPr="00022957">
        <w:rPr>
          <w:b/>
        </w:rPr>
        <w:t>ТА ВИРІШЕННЯ СПОРІВ</w:t>
      </w:r>
    </w:p>
    <w:p w:rsidR="00F37B60" w:rsidRPr="00022957" w:rsidRDefault="00F37B60" w:rsidP="00F37B60">
      <w:pPr>
        <w:tabs>
          <w:tab w:val="left" w:pos="1080"/>
        </w:tabs>
        <w:ind w:left="-567" w:right="-62" w:firstLine="709"/>
        <w:jc w:val="both"/>
      </w:pPr>
      <w:r w:rsidRPr="00022957">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F37B60" w:rsidRPr="00022957" w:rsidRDefault="00F37B60" w:rsidP="00F37B60">
      <w:pPr>
        <w:tabs>
          <w:tab w:val="left" w:pos="1080"/>
        </w:tabs>
        <w:ind w:left="-567" w:right="-62" w:firstLine="709"/>
        <w:jc w:val="both"/>
        <w:rPr>
          <w:b/>
        </w:rPr>
      </w:pPr>
      <w:r w:rsidRPr="00022957">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поставленного (недопоставленого) в строки Товару за кожний день прострочення такої поставки. </w:t>
      </w:r>
    </w:p>
    <w:p w:rsidR="00F37B60" w:rsidRPr="00022957" w:rsidRDefault="00F37B60" w:rsidP="00F37B60">
      <w:pPr>
        <w:tabs>
          <w:tab w:val="left" w:pos="1080"/>
        </w:tabs>
        <w:ind w:left="-567" w:right="-62" w:firstLine="709"/>
        <w:jc w:val="both"/>
      </w:pPr>
      <w:r w:rsidRPr="00022957">
        <w:t xml:space="preserve">7.3. За поставку неякісного Товару та/або у кількості, меншій ніж вказано у заявці, що потягло за собою додаткові витрати Покупця, Постачальник сплачує </w:t>
      </w:r>
      <w:r w:rsidRPr="00280027">
        <w:t>Покупцю штраф у розмірі 1% вартості неякісного Товару.</w:t>
      </w:r>
    </w:p>
    <w:p w:rsidR="00F37B60" w:rsidRPr="00022957" w:rsidRDefault="00F37B60" w:rsidP="00F37B60">
      <w:pPr>
        <w:tabs>
          <w:tab w:val="left" w:pos="1080"/>
        </w:tabs>
        <w:ind w:left="-567" w:right="-62" w:firstLine="709"/>
        <w:jc w:val="both"/>
      </w:pPr>
      <w:r w:rsidRPr="00022957">
        <w:lastRenderedPageBreak/>
        <w:t xml:space="preserve">7.4. У разі не виконання Постачальником умов пункту 4.5. цього Договору Покупець вправі затримати оплату вартості партії отриманого Товару, без понесення відповідальності за таку затримку, до виконання Постачальником своїх зобов’язань. </w:t>
      </w:r>
    </w:p>
    <w:p w:rsidR="00F37B60" w:rsidRPr="00022957" w:rsidRDefault="00F37B60" w:rsidP="00F37B60">
      <w:pPr>
        <w:tabs>
          <w:tab w:val="left" w:pos="1080"/>
        </w:tabs>
        <w:ind w:left="-567" w:right="-62" w:firstLine="709"/>
        <w:jc w:val="both"/>
      </w:pPr>
      <w:r w:rsidRPr="00022957">
        <w:t>7.5. У разі несвоєчасної оплати вартості отриманої партії Товару Покупець повинен сплатити Постачальнику пеню у розмірі облікової ставки НБУ, діючої на день її нарахування, від суми заборгованості,</w:t>
      </w:r>
      <w:r>
        <w:t xml:space="preserve"> за кожен день затримки оплати.</w:t>
      </w:r>
    </w:p>
    <w:p w:rsidR="00F37B60" w:rsidRPr="00022957" w:rsidRDefault="00F37B60" w:rsidP="00F37B60">
      <w:pPr>
        <w:tabs>
          <w:tab w:val="left" w:pos="1080"/>
        </w:tabs>
        <w:ind w:left="-567" w:right="-62" w:firstLine="709"/>
        <w:jc w:val="both"/>
      </w:pPr>
      <w:r w:rsidRPr="00022957">
        <w:t xml:space="preserve">7.6. Усі спори, що можуть виникнути у процесі виконання цього Договору, вирішуються сторонами шляхом переговорів, а у разі недосягнення згоди – </w:t>
      </w:r>
      <w:proofErr w:type="gramStart"/>
      <w:r w:rsidRPr="00022957">
        <w:t>у порядку</w:t>
      </w:r>
      <w:proofErr w:type="gramEnd"/>
      <w:r w:rsidRPr="00022957">
        <w:t>, встановленому законодавством України.</w:t>
      </w:r>
    </w:p>
    <w:p w:rsidR="00F37B60" w:rsidRPr="00022957" w:rsidRDefault="00F37B60" w:rsidP="00F37B60">
      <w:pPr>
        <w:tabs>
          <w:tab w:val="left" w:pos="900"/>
        </w:tabs>
        <w:ind w:left="-567" w:right="-62"/>
        <w:jc w:val="center"/>
        <w:rPr>
          <w:b/>
        </w:rPr>
      </w:pPr>
      <w:r w:rsidRPr="00022957">
        <w:rPr>
          <w:b/>
        </w:rPr>
        <w:t>8. СТРОК ДІЇ ДОГОВОРУ</w:t>
      </w:r>
    </w:p>
    <w:p w:rsidR="00F37B60" w:rsidRPr="003B5FF9" w:rsidRDefault="00F37B60" w:rsidP="00F37B60">
      <w:pPr>
        <w:tabs>
          <w:tab w:val="left" w:pos="900"/>
        </w:tabs>
        <w:ind w:left="-567" w:right="-62" w:firstLine="709"/>
        <w:jc w:val="both"/>
      </w:pPr>
      <w:r w:rsidRPr="00022957">
        <w:t xml:space="preserve">8.1. Цей Договір набуває чинності з моменту його підписання уповноваженими представниками сторін і діє до </w:t>
      </w:r>
      <w:r w:rsidR="006E6329">
        <w:t>31 грудня 202</w:t>
      </w:r>
      <w:r w:rsidR="006E6329">
        <w:rPr>
          <w:lang w:val="uk-UA"/>
        </w:rPr>
        <w:t>4</w:t>
      </w:r>
      <w:r w:rsidRPr="003B5FF9">
        <w:t xml:space="preserve"> року.</w:t>
      </w:r>
      <w:r w:rsidRPr="00022957">
        <w:t xml:space="preserve"> </w:t>
      </w:r>
      <w:r w:rsidRPr="003B5FF9">
        <w:t xml:space="preserve">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F37B60" w:rsidRPr="00022957" w:rsidRDefault="00F37B60" w:rsidP="00F37B60">
      <w:pPr>
        <w:tabs>
          <w:tab w:val="left" w:pos="900"/>
        </w:tabs>
        <w:ind w:left="-567" w:right="-62" w:firstLine="709"/>
        <w:jc w:val="both"/>
      </w:pPr>
      <w:r w:rsidRPr="003B5FF9">
        <w:t>8.2. Закінчення строку дії цього Договору не звільняє сторони від відповідальності за його порушення, яке мало місце під час дії цього Договору.</w:t>
      </w:r>
      <w:r w:rsidRPr="00022957">
        <w:t xml:space="preserve"> </w:t>
      </w:r>
    </w:p>
    <w:p w:rsidR="00F37B60" w:rsidRPr="00022957" w:rsidRDefault="00F37B60" w:rsidP="00F37B60">
      <w:pPr>
        <w:tabs>
          <w:tab w:val="left" w:pos="900"/>
        </w:tabs>
        <w:ind w:left="-567" w:right="-62" w:firstLine="709"/>
        <w:jc w:val="both"/>
      </w:pPr>
      <w:r w:rsidRPr="00022957">
        <w:t xml:space="preserve">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w:t>
      </w:r>
      <w:proofErr w:type="gramStart"/>
      <w:r w:rsidRPr="00022957">
        <w:t>у момент</w:t>
      </w:r>
      <w:proofErr w:type="gramEnd"/>
      <w:r w:rsidRPr="00022957">
        <w:t>, визначений пунктом 8.1. Договору та не встановлює для сторін будь-яких зобов’язань.</w:t>
      </w:r>
    </w:p>
    <w:p w:rsidR="00F37B60" w:rsidRDefault="00F37B60" w:rsidP="00F37B60">
      <w:pPr>
        <w:tabs>
          <w:tab w:val="left" w:pos="900"/>
        </w:tabs>
        <w:ind w:left="-567" w:right="-62" w:firstLine="709"/>
        <w:jc w:val="both"/>
      </w:pPr>
      <w:r w:rsidRPr="00022957">
        <w:t xml:space="preserve">8.4. </w:t>
      </w:r>
      <w:r w:rsidRPr="003B5FF9">
        <w:t>Сторони мають право розірвати цей Договір попередивши одна одну за 5 (п’ять) календарних днів.</w:t>
      </w:r>
    </w:p>
    <w:p w:rsidR="00F37B60" w:rsidRPr="00022957" w:rsidRDefault="00F37B60" w:rsidP="00F37B60">
      <w:pPr>
        <w:keepNext/>
        <w:spacing w:before="240"/>
        <w:ind w:left="-567"/>
        <w:jc w:val="center"/>
        <w:outlineLvl w:val="2"/>
        <w:rPr>
          <w:b/>
          <w:bCs/>
        </w:rPr>
      </w:pPr>
      <w:r>
        <w:rPr>
          <w:b/>
          <w:bCs/>
        </w:rPr>
        <w:t>9</w:t>
      </w:r>
      <w:r w:rsidRPr="00022957">
        <w:rPr>
          <w:b/>
          <w:bCs/>
        </w:rPr>
        <w:t>. ФОРС-МАЖОР</w:t>
      </w:r>
    </w:p>
    <w:p w:rsidR="00F37B60" w:rsidRPr="00022957" w:rsidRDefault="00F37B60" w:rsidP="00F37B60">
      <w:pPr>
        <w:ind w:left="-567" w:firstLine="709"/>
        <w:jc w:val="both"/>
        <w:rPr>
          <w:lang w:eastAsia="uk-UA"/>
        </w:rPr>
      </w:pPr>
      <w:r>
        <w:rPr>
          <w:lang w:eastAsia="uk-UA"/>
        </w:rPr>
        <w:t>9</w:t>
      </w:r>
      <w:r w:rsidRPr="00022957">
        <w:rPr>
          <w:lang w:eastAsia="uk-UA"/>
        </w:rPr>
        <w:t>.1.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F37B60" w:rsidRPr="00022957" w:rsidRDefault="00F37B60" w:rsidP="00F37B60">
      <w:pPr>
        <w:ind w:left="-567" w:firstLine="709"/>
        <w:jc w:val="both"/>
        <w:rPr>
          <w:lang w:eastAsia="uk-UA"/>
        </w:rPr>
      </w:pPr>
      <w:r>
        <w:rPr>
          <w:lang w:eastAsia="uk-UA"/>
        </w:rPr>
        <w:t>9</w:t>
      </w:r>
      <w:r w:rsidRPr="00022957">
        <w:rPr>
          <w:lang w:eastAsia="uk-UA"/>
        </w:rPr>
        <w:t xml:space="preserve">.2. Виконання зобов'язань за цим Договором відкладається </w:t>
      </w:r>
      <w:proofErr w:type="gramStart"/>
      <w:r w:rsidRPr="00022957">
        <w:rPr>
          <w:lang w:eastAsia="uk-UA"/>
        </w:rPr>
        <w:t>на строк</w:t>
      </w:r>
      <w:proofErr w:type="gramEnd"/>
      <w:r w:rsidRPr="00022957">
        <w:rPr>
          <w:lang w:eastAsia="uk-UA"/>
        </w:rPr>
        <w:t xml:space="preserve"> дії форс-мажорних обставин.</w:t>
      </w:r>
    </w:p>
    <w:p w:rsidR="00F37B60" w:rsidRPr="00022957" w:rsidRDefault="00F37B60" w:rsidP="00F37B60">
      <w:pPr>
        <w:ind w:left="-567" w:firstLine="709"/>
        <w:jc w:val="both"/>
        <w:rPr>
          <w:lang w:eastAsia="uk-UA"/>
        </w:rPr>
      </w:pPr>
      <w:r>
        <w:rPr>
          <w:lang w:eastAsia="uk-UA"/>
        </w:rPr>
        <w:t>9</w:t>
      </w:r>
      <w:r w:rsidRPr="00022957">
        <w:rPr>
          <w:lang w:eastAsia="uk-UA"/>
        </w:rPr>
        <w:t>.3. Сторони зобов'язані негайно повідомити про виникнення форс-мажорних обставин та подати підтвердні документи іншій стороні.</w:t>
      </w:r>
    </w:p>
    <w:p w:rsidR="00F37B60" w:rsidRPr="00022957" w:rsidRDefault="00F37B60" w:rsidP="00F37B60">
      <w:pPr>
        <w:ind w:left="-567" w:firstLine="709"/>
        <w:jc w:val="both"/>
        <w:rPr>
          <w:lang w:eastAsia="uk-UA"/>
        </w:rPr>
      </w:pPr>
      <w:r>
        <w:rPr>
          <w:lang w:eastAsia="uk-UA"/>
        </w:rPr>
        <w:t>9</w:t>
      </w:r>
      <w:r w:rsidRPr="00022957">
        <w:rPr>
          <w:lang w:eastAsia="uk-UA"/>
        </w:rPr>
        <w:t xml:space="preserve">.4. Настання форс-мажорних обставин підтверджується </w:t>
      </w:r>
      <w:proofErr w:type="gramStart"/>
      <w:r w:rsidRPr="00022957">
        <w:rPr>
          <w:lang w:eastAsia="uk-UA"/>
        </w:rPr>
        <w:t>в порядку</w:t>
      </w:r>
      <w:proofErr w:type="gramEnd"/>
      <w:r w:rsidRPr="00022957">
        <w:rPr>
          <w:lang w:eastAsia="uk-UA"/>
        </w:rPr>
        <w:t>, встановленому законодавством.</w:t>
      </w:r>
    </w:p>
    <w:p w:rsidR="00F37B60" w:rsidRPr="00022957" w:rsidRDefault="00F37B60" w:rsidP="00F37B60">
      <w:pPr>
        <w:tabs>
          <w:tab w:val="left" w:pos="1080"/>
        </w:tabs>
        <w:ind w:left="-567" w:right="-62"/>
        <w:jc w:val="center"/>
        <w:rPr>
          <w:b/>
        </w:rPr>
      </w:pPr>
      <w:r w:rsidRPr="00022957">
        <w:rPr>
          <w:b/>
        </w:rPr>
        <w:t>10. ІНШІ УМОВИ</w:t>
      </w:r>
    </w:p>
    <w:p w:rsidR="00BD5BA8" w:rsidRDefault="00F37B60" w:rsidP="00BD5BA8">
      <w:pPr>
        <w:tabs>
          <w:tab w:val="left" w:pos="1080"/>
        </w:tabs>
        <w:ind w:left="-567" w:right="-62" w:firstLine="709"/>
        <w:jc w:val="both"/>
      </w:pPr>
      <w:r w:rsidRPr="00022957">
        <w:rPr>
          <w:noProof/>
        </w:rPr>
        <w:t>1</w:t>
      </w:r>
      <w:r>
        <w:rPr>
          <w:noProof/>
        </w:rPr>
        <w:t>0</w:t>
      </w:r>
      <w:r w:rsidRPr="00022957">
        <w:rPr>
          <w:noProof/>
        </w:rPr>
        <w:t>.1.</w:t>
      </w:r>
      <w:r w:rsidRPr="00022957">
        <w:t xml:space="preserve"> </w:t>
      </w:r>
      <w:r w:rsidR="00BD5BA8">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BD5BA8" w:rsidRDefault="00BD5BA8" w:rsidP="00BD5BA8">
      <w:pPr>
        <w:tabs>
          <w:tab w:val="left" w:pos="1080"/>
        </w:tabs>
        <w:ind w:left="-567" w:right="-62" w:firstLine="709"/>
        <w:jc w:val="both"/>
      </w:pPr>
      <w:r>
        <w:t>1) зменшення обсягів закупівлі, зокрема з урахуванням фактичного обсягу видатків замовника;</w:t>
      </w:r>
    </w:p>
    <w:p w:rsidR="00BD5BA8" w:rsidRDefault="00BD5BA8" w:rsidP="00BD5BA8">
      <w:pPr>
        <w:tabs>
          <w:tab w:val="left" w:pos="1080"/>
        </w:tabs>
        <w:ind w:left="-567" w:right="-62" w:firstLine="709"/>
        <w:jc w:val="both"/>
      </w:pPr>
      <w:r>
        <w:t xml:space="preserve">2) погодження зміни ціни за одиницю товару в договорі про закупівлю у разі коливання ціни такого товару </w:t>
      </w:r>
      <w:proofErr w:type="gramStart"/>
      <w:r>
        <w:t>на ринку</w:t>
      </w:r>
      <w:proofErr w:type="gramEnd"/>
      <w: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t>на ринку</w:t>
      </w:r>
      <w:proofErr w:type="gramEnd"/>
      <w: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5BA8" w:rsidRDefault="00BD5BA8" w:rsidP="00BD5BA8">
      <w:pPr>
        <w:tabs>
          <w:tab w:val="left" w:pos="1080"/>
        </w:tabs>
        <w:ind w:left="-567" w:right="-62" w:firstLine="709"/>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D5BA8" w:rsidRDefault="00BD5BA8" w:rsidP="00BD5BA8">
      <w:pPr>
        <w:tabs>
          <w:tab w:val="left" w:pos="1080"/>
        </w:tabs>
        <w:ind w:left="-567" w:right="-62" w:firstLine="709"/>
        <w:jc w:val="both"/>
      </w:pPr>
      <w: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5BA8" w:rsidRDefault="00BD5BA8" w:rsidP="00BD5BA8">
      <w:pPr>
        <w:tabs>
          <w:tab w:val="left" w:pos="1080"/>
        </w:tabs>
        <w:ind w:left="-567" w:right="-62" w:firstLine="709"/>
        <w:jc w:val="both"/>
      </w:pPr>
      <w:r>
        <w:t>5) погодження зміни ціни в договорі про закупівлю в бік зменшення (без зміни кількості (обсягу) та якості товарів, робіт і послуг);</w:t>
      </w:r>
    </w:p>
    <w:p w:rsidR="00BD5BA8" w:rsidRDefault="00BD5BA8" w:rsidP="00BD5BA8">
      <w:pPr>
        <w:tabs>
          <w:tab w:val="left" w:pos="1080"/>
        </w:tabs>
        <w:ind w:left="-567" w:right="-62" w:firstLine="709"/>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D5BA8" w:rsidRDefault="00BD5BA8" w:rsidP="00BD5BA8">
      <w:pPr>
        <w:tabs>
          <w:tab w:val="left" w:pos="1080"/>
        </w:tabs>
        <w:ind w:left="-567" w:right="-62" w:firstLine="709"/>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t>на ринку</w:t>
      </w:r>
      <w:proofErr w:type="gramEnd"/>
      <w:r>
        <w:t xml:space="preserve"> “на добу наперед”, що застосовуються в договорі про закупівлю, у разі встановлення в договорі про закупівлю порядку зміни ціни;</w:t>
      </w:r>
    </w:p>
    <w:p w:rsidR="00BD5BA8" w:rsidRDefault="00BD5BA8" w:rsidP="00BD5BA8">
      <w:pPr>
        <w:tabs>
          <w:tab w:val="left" w:pos="1080"/>
        </w:tabs>
        <w:ind w:left="-567" w:right="-62" w:firstLine="709"/>
        <w:jc w:val="both"/>
      </w:pPr>
      <w:r>
        <w:t xml:space="preserve">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w:t>
      </w:r>
      <w:proofErr w:type="gramStart"/>
      <w:r>
        <w:t>на строк</w:t>
      </w:r>
      <w:proofErr w:type="gramEnd"/>
      <w: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37B60" w:rsidRPr="00546B2D" w:rsidRDefault="00BD5BA8" w:rsidP="00BD5BA8">
      <w:pPr>
        <w:tabs>
          <w:tab w:val="left" w:pos="1080"/>
        </w:tabs>
        <w:ind w:left="-567" w:right="-62" w:firstLine="709"/>
        <w:jc w:val="both"/>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37B60" w:rsidRPr="00546B2D" w:rsidRDefault="00F37B60" w:rsidP="00F37B60">
      <w:pPr>
        <w:tabs>
          <w:tab w:val="left" w:pos="709"/>
        </w:tabs>
        <w:ind w:left="-567" w:firstLine="567"/>
        <w:jc w:val="both"/>
      </w:pPr>
      <w:r w:rsidRPr="00546B2D">
        <w:t xml:space="preserve">  1</w:t>
      </w:r>
      <w:r>
        <w:t>0</w:t>
      </w:r>
      <w:r w:rsidRPr="00546B2D">
        <w:t>.2.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F37B60" w:rsidRPr="00022957" w:rsidRDefault="00F37B60" w:rsidP="00F37B60">
      <w:pPr>
        <w:widowControl w:val="0"/>
        <w:tabs>
          <w:tab w:val="left" w:pos="0"/>
        </w:tabs>
        <w:snapToGrid w:val="0"/>
        <w:ind w:left="-567" w:right="-62" w:firstLine="567"/>
        <w:jc w:val="both"/>
      </w:pPr>
      <w:r w:rsidRPr="00546B2D">
        <w:t>1</w:t>
      </w:r>
      <w:r>
        <w:t>0</w:t>
      </w:r>
      <w:r w:rsidRPr="00546B2D">
        <w:t>.3.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F37B60" w:rsidRPr="00022957" w:rsidRDefault="00F37B60" w:rsidP="00F37B60">
      <w:pPr>
        <w:tabs>
          <w:tab w:val="left" w:pos="1080"/>
        </w:tabs>
        <w:ind w:left="-567" w:right="-62" w:firstLine="709"/>
        <w:jc w:val="both"/>
      </w:pPr>
      <w:r>
        <w:rPr>
          <w:noProof/>
        </w:rPr>
        <w:t>10</w:t>
      </w:r>
      <w:r w:rsidRPr="00022957">
        <w:rPr>
          <w:noProof/>
        </w:rPr>
        <w:t>.4. На момент укладення цього договору Покупець є платник</w:t>
      </w:r>
      <w:r>
        <w:rPr>
          <w:noProof/>
        </w:rPr>
        <w:t>ом</w:t>
      </w:r>
      <w:r w:rsidRPr="00022957">
        <w:rPr>
          <w:noProof/>
        </w:rPr>
        <w:t xml:space="preserve"> податку на прибуток на загальних умовах, Постачальник ______________________________. </w:t>
      </w:r>
    </w:p>
    <w:p w:rsidR="00F37B60" w:rsidRPr="00022957" w:rsidRDefault="00F37B60" w:rsidP="00F37B60">
      <w:pPr>
        <w:tabs>
          <w:tab w:val="left" w:pos="1080"/>
        </w:tabs>
        <w:ind w:left="-567" w:right="-62" w:firstLine="709"/>
        <w:jc w:val="both"/>
      </w:pPr>
      <w:r>
        <w:t>10</w:t>
      </w:r>
      <w:r w:rsidRPr="00022957">
        <w:t xml:space="preserve">.5. Цей Договір складений у двох примірниках, що мають однакову юридичну силу. </w:t>
      </w:r>
    </w:p>
    <w:p w:rsidR="00F37B60" w:rsidRPr="00022957" w:rsidRDefault="00F37B60" w:rsidP="00F37B60">
      <w:pPr>
        <w:tabs>
          <w:tab w:val="left" w:pos="1080"/>
        </w:tabs>
        <w:ind w:left="-567" w:right="-62" w:firstLine="709"/>
        <w:jc w:val="both"/>
      </w:pPr>
      <w:r w:rsidRPr="00022957">
        <w:t>1</w:t>
      </w:r>
      <w:r>
        <w:t>0</w:t>
      </w:r>
      <w:r w:rsidRPr="00022957">
        <w:t>.6. Зміни та доповнення до Договору вносяться в письмовій формі шляхом укладання додаткових договорів, які є невід’ємною частиною цього Договору.</w:t>
      </w:r>
    </w:p>
    <w:p w:rsidR="00F37B60" w:rsidRPr="00022957" w:rsidRDefault="00F37B60" w:rsidP="00F37B60">
      <w:pPr>
        <w:tabs>
          <w:tab w:val="left" w:pos="0"/>
        </w:tabs>
        <w:ind w:left="-567" w:right="-62" w:firstLine="709"/>
        <w:jc w:val="both"/>
      </w:pPr>
      <w:r w:rsidRPr="00022957">
        <w:lastRenderedPageBreak/>
        <w:t>1</w:t>
      </w:r>
      <w:r>
        <w:t>0</w:t>
      </w:r>
      <w:r w:rsidRPr="00022957">
        <w:t>.7. Всі відносини, що не врегульовані цим Договором, регулюються чинним законодавством України.</w:t>
      </w:r>
    </w:p>
    <w:p w:rsidR="00F37B60" w:rsidRPr="00022957" w:rsidRDefault="00F37B60" w:rsidP="00F37B60">
      <w:pPr>
        <w:tabs>
          <w:tab w:val="left" w:pos="0"/>
        </w:tabs>
        <w:ind w:left="-567" w:right="-62" w:firstLine="709"/>
        <w:jc w:val="both"/>
      </w:pPr>
      <w:r w:rsidRPr="00022957">
        <w:t>1</w:t>
      </w:r>
      <w:r>
        <w:t>0</w:t>
      </w:r>
      <w:r w:rsidRPr="00022957">
        <w:t>.8.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F37B60" w:rsidRDefault="00F37B60" w:rsidP="00F37B60">
      <w:pPr>
        <w:tabs>
          <w:tab w:val="left" w:pos="0"/>
        </w:tabs>
        <w:ind w:left="-567" w:right="-62" w:firstLine="709"/>
        <w:jc w:val="both"/>
      </w:pPr>
      <w:r w:rsidRPr="00022957">
        <w:t>1</w:t>
      </w:r>
      <w:r>
        <w:t>0</w:t>
      </w:r>
      <w:r w:rsidRPr="00022957">
        <w:t>.9.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F37B60" w:rsidRPr="00022957" w:rsidRDefault="00F37B60" w:rsidP="00F37B60">
      <w:pPr>
        <w:tabs>
          <w:tab w:val="left" w:pos="0"/>
        </w:tabs>
        <w:ind w:right="-62" w:firstLine="709"/>
        <w:jc w:val="both"/>
      </w:pPr>
    </w:p>
    <w:p w:rsidR="00F37B60" w:rsidRDefault="00F37B60" w:rsidP="00F37B60">
      <w:pPr>
        <w:tabs>
          <w:tab w:val="left" w:pos="0"/>
        </w:tabs>
        <w:ind w:right="-62" w:firstLine="709"/>
        <w:jc w:val="center"/>
        <w:rPr>
          <w:b/>
        </w:rPr>
      </w:pPr>
      <w:r w:rsidRPr="00022957">
        <w:rPr>
          <w:b/>
        </w:rPr>
        <w:t>1</w:t>
      </w:r>
      <w:r>
        <w:rPr>
          <w:b/>
        </w:rPr>
        <w:t>1</w:t>
      </w:r>
      <w:r w:rsidRPr="00022957">
        <w:rPr>
          <w:b/>
        </w:rPr>
        <w:t>. ПІДПИСИ ТА РЕКВІЗИТИ СТОРІН</w:t>
      </w:r>
    </w:p>
    <w:p w:rsidR="001C3508" w:rsidRPr="00022957" w:rsidRDefault="001C3508" w:rsidP="00F37B60">
      <w:pPr>
        <w:tabs>
          <w:tab w:val="left" w:pos="0"/>
        </w:tabs>
        <w:ind w:right="-62" w:firstLine="709"/>
        <w:jc w:val="center"/>
      </w:pPr>
    </w:p>
    <w:tbl>
      <w:tblPr>
        <w:tblW w:w="9639" w:type="dxa"/>
        <w:tblInd w:w="108" w:type="dxa"/>
        <w:tblLayout w:type="fixed"/>
        <w:tblLook w:val="01E0" w:firstRow="1" w:lastRow="1" w:firstColumn="1" w:lastColumn="1" w:noHBand="0" w:noVBand="0"/>
      </w:tblPr>
      <w:tblGrid>
        <w:gridCol w:w="4253"/>
        <w:gridCol w:w="5040"/>
        <w:gridCol w:w="346"/>
      </w:tblGrid>
      <w:tr w:rsidR="003B465E" w:rsidRPr="008A6115" w:rsidTr="003D0DBE">
        <w:trPr>
          <w:gridAfter w:val="1"/>
          <w:wAfter w:w="346" w:type="dxa"/>
        </w:trPr>
        <w:tc>
          <w:tcPr>
            <w:tcW w:w="4253" w:type="dxa"/>
          </w:tcPr>
          <w:p w:rsidR="003B465E" w:rsidRPr="001C15F7" w:rsidRDefault="003B465E" w:rsidP="003D0DBE">
            <w:pPr>
              <w:keepNext/>
              <w:keepLines/>
              <w:ind w:firstLine="709"/>
              <w:outlineLvl w:val="7"/>
              <w:rPr>
                <w:b/>
                <w:i/>
                <w:lang w:val="uk-UA" w:eastAsia="uk-UA"/>
              </w:rPr>
            </w:pPr>
            <w:r w:rsidRPr="008A6115">
              <w:rPr>
                <w:b/>
                <w:i/>
                <w:lang w:eastAsia="uk-UA"/>
              </w:rPr>
              <w:t>ПОСТАЧАЛЬНИК</w:t>
            </w:r>
            <w:r w:rsidR="001C15F7">
              <w:rPr>
                <w:b/>
                <w:i/>
                <w:lang w:val="uk-UA" w:eastAsia="uk-UA"/>
              </w:rPr>
              <w:t>:</w:t>
            </w:r>
          </w:p>
          <w:p w:rsidR="003B465E" w:rsidRPr="008A6115" w:rsidRDefault="003B465E" w:rsidP="003D0DBE">
            <w:pPr>
              <w:ind w:firstLine="709"/>
              <w:rPr>
                <w:b/>
                <w:lang w:val="uk-UA"/>
              </w:rPr>
            </w:pPr>
          </w:p>
          <w:p w:rsidR="003B465E" w:rsidRPr="008A6115" w:rsidRDefault="003B465E" w:rsidP="003D0DBE">
            <w:pPr>
              <w:rPr>
                <w:b/>
                <w:lang w:val="uk-UA"/>
              </w:rPr>
            </w:pPr>
          </w:p>
        </w:tc>
        <w:tc>
          <w:tcPr>
            <w:tcW w:w="5040" w:type="dxa"/>
          </w:tcPr>
          <w:p w:rsidR="003B465E" w:rsidRPr="008A6115" w:rsidRDefault="003B465E" w:rsidP="003D0DBE">
            <w:pPr>
              <w:ind w:hanging="6"/>
              <w:rPr>
                <w:b/>
                <w:i/>
                <w:caps/>
                <w:lang w:val="uk-UA"/>
              </w:rPr>
            </w:pPr>
            <w:r w:rsidRPr="008A6115">
              <w:rPr>
                <w:b/>
                <w:i/>
                <w:caps/>
                <w:lang w:val="uk-UA"/>
              </w:rPr>
              <w:t xml:space="preserve">            </w:t>
            </w:r>
            <w:r w:rsidRPr="008A6115">
              <w:rPr>
                <w:b/>
                <w:i/>
                <w:caps/>
              </w:rPr>
              <w:t>Покупець:</w:t>
            </w:r>
          </w:p>
          <w:p w:rsidR="003B465E" w:rsidRPr="008A6115" w:rsidRDefault="003B465E" w:rsidP="003D0DBE">
            <w:pPr>
              <w:ind w:hanging="6"/>
              <w:rPr>
                <w:b/>
                <w:i/>
                <w:caps/>
                <w:lang w:val="uk-UA"/>
              </w:rPr>
            </w:pPr>
          </w:p>
          <w:p w:rsidR="003B465E" w:rsidRPr="008A6115" w:rsidRDefault="003B465E" w:rsidP="003D0DBE">
            <w:pPr>
              <w:ind w:hanging="6"/>
              <w:rPr>
                <w:b/>
                <w:lang w:val="en-US"/>
              </w:rPr>
            </w:pPr>
            <w:r w:rsidRPr="008A6115">
              <w:rPr>
                <w:b/>
                <w:lang w:val="uk-UA"/>
              </w:rPr>
              <w:t xml:space="preserve">      </w:t>
            </w:r>
            <w:r w:rsidRPr="008A6115">
              <w:rPr>
                <w:b/>
              </w:rPr>
              <w:t xml:space="preserve">ДКП </w:t>
            </w:r>
            <w:r w:rsidRPr="008A6115">
              <w:rPr>
                <w:b/>
                <w:lang w:val="en-US"/>
              </w:rPr>
              <w:t>“</w:t>
            </w:r>
            <w:r w:rsidRPr="008A6115">
              <w:rPr>
                <w:b/>
              </w:rPr>
              <w:t>Луцьктепло</w:t>
            </w:r>
            <w:r w:rsidRPr="008A6115">
              <w:rPr>
                <w:b/>
                <w:lang w:val="en-US"/>
              </w:rPr>
              <w:t>”</w:t>
            </w:r>
          </w:p>
        </w:tc>
      </w:tr>
      <w:tr w:rsidR="003B465E" w:rsidRPr="008A6115" w:rsidTr="003D0DBE">
        <w:tblPrEx>
          <w:tblLook w:val="0000" w:firstRow="0" w:lastRow="0" w:firstColumn="0" w:lastColumn="0" w:noHBand="0" w:noVBand="0"/>
        </w:tblPrEx>
        <w:trPr>
          <w:trHeight w:val="2709"/>
        </w:trPr>
        <w:tc>
          <w:tcPr>
            <w:tcW w:w="4253" w:type="dxa"/>
          </w:tcPr>
          <w:p w:rsidR="003B465E" w:rsidRPr="008A6115" w:rsidRDefault="003B465E" w:rsidP="003D0DBE">
            <w:pPr>
              <w:widowControl w:val="0"/>
              <w:snapToGrid w:val="0"/>
              <w:ind w:right="-108"/>
              <w:rPr>
                <w:lang w:val="uk-UA"/>
              </w:rPr>
            </w:pPr>
          </w:p>
        </w:tc>
        <w:tc>
          <w:tcPr>
            <w:tcW w:w="5386" w:type="dxa"/>
            <w:gridSpan w:val="2"/>
          </w:tcPr>
          <w:p w:rsidR="003B465E" w:rsidRPr="00B227A8" w:rsidRDefault="003B465E" w:rsidP="003D0DBE">
            <w:pPr>
              <w:ind w:left="-108" w:right="-249" w:hanging="6"/>
              <w:rPr>
                <w:lang w:val="uk-UA"/>
              </w:rPr>
            </w:pPr>
            <w:r w:rsidRPr="00B227A8">
              <w:rPr>
                <w:lang w:val="uk-UA"/>
              </w:rPr>
              <w:t>43005, м. Луцьк, вул. Гулака-Артемовського, 20</w:t>
            </w:r>
          </w:p>
          <w:p w:rsidR="003B465E" w:rsidRPr="00B227A8" w:rsidRDefault="003B465E" w:rsidP="003D0DBE">
            <w:pPr>
              <w:ind w:left="-108" w:right="-249" w:hanging="6"/>
              <w:rPr>
                <w:lang w:val="uk-UA"/>
              </w:rPr>
            </w:pPr>
            <w:r w:rsidRPr="00B227A8">
              <w:rPr>
                <w:lang w:val="uk-UA"/>
              </w:rPr>
              <w:t xml:space="preserve"> Код ЄДРПОУ 30391925</w:t>
            </w:r>
          </w:p>
          <w:p w:rsidR="003B465E" w:rsidRPr="00B227A8" w:rsidRDefault="003B465E" w:rsidP="003D0DBE">
            <w:pPr>
              <w:ind w:left="-108" w:right="-249" w:hanging="6"/>
              <w:rPr>
                <w:lang w:val="uk-UA"/>
              </w:rPr>
            </w:pPr>
            <w:r w:rsidRPr="00B227A8">
              <w:rPr>
                <w:lang w:val="uk-UA"/>
              </w:rPr>
              <w:t>Банківські реквізити:</w:t>
            </w:r>
          </w:p>
          <w:p w:rsidR="003B465E" w:rsidRPr="00B227A8" w:rsidRDefault="003B465E" w:rsidP="003D0DBE">
            <w:pPr>
              <w:ind w:left="-108" w:right="-249" w:hanging="6"/>
              <w:rPr>
                <w:lang w:val="uk-UA"/>
              </w:rPr>
            </w:pPr>
            <w:r w:rsidRPr="00B227A8">
              <w:rPr>
                <w:lang w:val="uk-UA"/>
              </w:rPr>
              <w:t>IBAN UA263204780000000026009252571</w:t>
            </w:r>
          </w:p>
          <w:p w:rsidR="003B465E" w:rsidRPr="00B227A8" w:rsidRDefault="003B465E" w:rsidP="003D0DBE">
            <w:pPr>
              <w:ind w:left="-222" w:right="-249"/>
              <w:rPr>
                <w:lang w:val="uk-UA"/>
              </w:rPr>
            </w:pPr>
            <w:r w:rsidRPr="00B227A8">
              <w:rPr>
                <w:lang w:val="uk-UA"/>
              </w:rPr>
              <w:t xml:space="preserve">  в АБ «УКРГАЗБАНК» м. Київ</w:t>
            </w:r>
          </w:p>
          <w:p w:rsidR="003B465E" w:rsidRPr="00B227A8" w:rsidRDefault="003B465E" w:rsidP="003D0DBE">
            <w:pPr>
              <w:ind w:left="-222" w:right="-249"/>
              <w:rPr>
                <w:lang w:val="uk-UA"/>
              </w:rPr>
            </w:pPr>
            <w:r w:rsidRPr="00B227A8">
              <w:rPr>
                <w:lang w:val="en-US"/>
              </w:rPr>
              <w:t>I</w:t>
            </w:r>
            <w:r w:rsidRPr="00B227A8">
              <w:rPr>
                <w:lang w:val="uk-UA"/>
              </w:rPr>
              <w:t xml:space="preserve"> </w:t>
            </w:r>
            <w:r w:rsidRPr="00B227A8">
              <w:rPr>
                <w:lang w:val="en-US"/>
              </w:rPr>
              <w:t>IBAN</w:t>
            </w:r>
            <w:r w:rsidRPr="00B227A8">
              <w:rPr>
                <w:lang w:val="uk-UA"/>
              </w:rPr>
              <w:t xml:space="preserve"> </w:t>
            </w:r>
            <w:r w:rsidRPr="00B227A8">
              <w:rPr>
                <w:lang w:val="en-US"/>
              </w:rPr>
              <w:t>UA</w:t>
            </w:r>
            <w:r w:rsidRPr="00B227A8">
              <w:rPr>
                <w:lang w:val="uk-UA"/>
              </w:rPr>
              <w:t>688201720355339896000035009</w:t>
            </w:r>
          </w:p>
          <w:p w:rsidR="003B465E" w:rsidRPr="00B227A8" w:rsidRDefault="003B465E" w:rsidP="003D0DBE">
            <w:pPr>
              <w:ind w:left="-222" w:right="-249"/>
              <w:rPr>
                <w:lang w:val="uk-UA"/>
              </w:rPr>
            </w:pPr>
            <w:r w:rsidRPr="00B227A8">
              <w:rPr>
                <w:lang w:val="uk-UA"/>
              </w:rPr>
              <w:t xml:space="preserve">  Держказначейська служба України,</w:t>
            </w:r>
            <w:r w:rsidRPr="00B227A8">
              <w:t xml:space="preserve"> </w:t>
            </w:r>
            <w:r w:rsidRPr="00B227A8">
              <w:rPr>
                <w:lang w:val="uk-UA"/>
              </w:rPr>
              <w:t>м.</w:t>
            </w:r>
            <w:r w:rsidRPr="00B227A8">
              <w:t xml:space="preserve"> </w:t>
            </w:r>
            <w:r w:rsidRPr="00B227A8">
              <w:rPr>
                <w:lang w:val="uk-UA"/>
              </w:rPr>
              <w:t>Київ</w:t>
            </w:r>
          </w:p>
          <w:p w:rsidR="003B465E" w:rsidRPr="00B227A8" w:rsidRDefault="003B465E" w:rsidP="003D0DBE">
            <w:pPr>
              <w:ind w:left="-222" w:right="-249"/>
              <w:rPr>
                <w:lang w:val="uk-UA"/>
              </w:rPr>
            </w:pPr>
            <w:r w:rsidRPr="00B227A8">
              <w:rPr>
                <w:lang w:val="uk-UA"/>
              </w:rPr>
              <w:t xml:space="preserve">  УДКСУ у м.</w:t>
            </w:r>
            <w:r w:rsidRPr="00B227A8">
              <w:t xml:space="preserve"> </w:t>
            </w:r>
            <w:r w:rsidRPr="00B227A8">
              <w:rPr>
                <w:lang w:val="uk-UA"/>
              </w:rPr>
              <w:t>Луцьку</w:t>
            </w:r>
          </w:p>
          <w:p w:rsidR="003B465E" w:rsidRPr="00B227A8" w:rsidRDefault="003B465E" w:rsidP="003D0DBE">
            <w:pPr>
              <w:ind w:left="-108" w:right="-249" w:hanging="6"/>
              <w:rPr>
                <w:lang w:val="uk-UA"/>
              </w:rPr>
            </w:pPr>
            <w:r w:rsidRPr="00B227A8">
              <w:rPr>
                <w:lang w:val="uk-UA"/>
              </w:rPr>
              <w:t>ІПН №303919203177</w:t>
            </w:r>
          </w:p>
          <w:p w:rsidR="003B465E" w:rsidRPr="00B227A8" w:rsidRDefault="003B465E" w:rsidP="003D0DBE">
            <w:pPr>
              <w:ind w:left="-108" w:right="-249" w:hanging="6"/>
              <w:rPr>
                <w:lang w:val="uk-UA"/>
              </w:rPr>
            </w:pPr>
            <w:r w:rsidRPr="00B227A8">
              <w:rPr>
                <w:lang w:val="uk-UA"/>
              </w:rPr>
              <w:t>Св. №02805459</w:t>
            </w:r>
          </w:p>
          <w:p w:rsidR="003B465E" w:rsidRPr="008A6115" w:rsidRDefault="003B465E" w:rsidP="003D0DBE">
            <w:pPr>
              <w:ind w:hanging="6"/>
              <w:rPr>
                <w:lang w:val="uk-UA"/>
              </w:rPr>
            </w:pPr>
            <w:r w:rsidRPr="00B227A8">
              <w:rPr>
                <w:lang w:val="uk-UA"/>
              </w:rPr>
              <w:t>Тел.: (0332) 28-30-70</w:t>
            </w:r>
          </w:p>
          <w:p w:rsidR="003B465E" w:rsidRPr="008A6115" w:rsidRDefault="003B465E" w:rsidP="003D0DBE">
            <w:pPr>
              <w:ind w:hanging="6"/>
              <w:rPr>
                <w:lang w:val="uk-UA"/>
              </w:rPr>
            </w:pPr>
          </w:p>
        </w:tc>
      </w:tr>
    </w:tbl>
    <w:p w:rsidR="003B465E" w:rsidRPr="008A6115" w:rsidRDefault="003B465E" w:rsidP="003B465E">
      <w:pPr>
        <w:tabs>
          <w:tab w:val="left" w:pos="0"/>
        </w:tabs>
        <w:ind w:right="-62"/>
        <w:rPr>
          <w:b/>
          <w:lang w:val="uk-UA"/>
        </w:rPr>
      </w:pPr>
      <w:r w:rsidRPr="008A6115">
        <w:rPr>
          <w:lang w:val="uk-UA"/>
        </w:rPr>
        <w:t xml:space="preserve">  </w:t>
      </w:r>
      <w:r w:rsidRPr="008A6115">
        <w:rPr>
          <w:b/>
          <w:lang w:val="uk-UA"/>
        </w:rPr>
        <w:t xml:space="preserve">                                                                  </w:t>
      </w:r>
      <w:r>
        <w:rPr>
          <w:lang w:val="uk-UA"/>
        </w:rPr>
        <w:t xml:space="preserve">      </w:t>
      </w:r>
      <w:r w:rsidRPr="00B227A8">
        <w:rPr>
          <w:b/>
          <w:lang w:val="uk-UA"/>
        </w:rPr>
        <w:t xml:space="preserve">Директор____________ Іван Скорупський </w:t>
      </w:r>
    </w:p>
    <w:p w:rsidR="00F37B60" w:rsidRDefault="00F37B60"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Pr="00022228" w:rsidRDefault="003B465E" w:rsidP="00F37B60">
      <w:pPr>
        <w:spacing w:before="240"/>
        <w:ind w:left="5670"/>
        <w:jc w:val="both"/>
      </w:pPr>
    </w:p>
    <w:p w:rsidR="00F37B60" w:rsidRPr="005C1357" w:rsidRDefault="00F37B60" w:rsidP="00F37B60">
      <w:pPr>
        <w:jc w:val="right"/>
        <w:rPr>
          <w:b/>
        </w:rPr>
      </w:pPr>
      <w:r w:rsidRPr="005C1357">
        <w:rPr>
          <w:b/>
        </w:rPr>
        <w:lastRenderedPageBreak/>
        <w:t>Додаток 1</w:t>
      </w:r>
      <w:r w:rsidRPr="005C1357">
        <w:rPr>
          <w:b/>
        </w:rPr>
        <w:br/>
        <w:t xml:space="preserve">до Договору </w:t>
      </w:r>
      <w:r w:rsidRPr="005C1357">
        <w:rPr>
          <w:b/>
          <w:lang w:val="uk-UA"/>
        </w:rPr>
        <w:t xml:space="preserve">про закупівлю товарів </w:t>
      </w:r>
      <w:r w:rsidRPr="005C1357">
        <w:rPr>
          <w:b/>
        </w:rPr>
        <w:t>№ __</w:t>
      </w:r>
      <w:r w:rsidR="003B465E" w:rsidRPr="005C1357">
        <w:rPr>
          <w:b/>
          <w:lang w:val="uk-UA"/>
        </w:rPr>
        <w:t>____</w:t>
      </w:r>
      <w:r w:rsidRPr="005C1357">
        <w:rPr>
          <w:b/>
        </w:rPr>
        <w:t>__від _____________</w:t>
      </w:r>
    </w:p>
    <w:p w:rsidR="00F37B60" w:rsidRPr="00022228" w:rsidRDefault="00F37B60" w:rsidP="00F37B60">
      <w:pPr>
        <w:rPr>
          <w:b/>
          <w:bCs/>
        </w:rPr>
      </w:pPr>
    </w:p>
    <w:p w:rsidR="00F37B60" w:rsidRPr="00022228" w:rsidRDefault="00F37B60" w:rsidP="00F37B60">
      <w:pPr>
        <w:jc w:val="center"/>
        <w:rPr>
          <w:b/>
          <w:bCs/>
        </w:rPr>
      </w:pPr>
      <w:r w:rsidRPr="00022228">
        <w:rPr>
          <w:b/>
          <w:bCs/>
        </w:rPr>
        <w:t>СПЕЦИФІКАЦІЯ</w:t>
      </w:r>
    </w:p>
    <w:p w:rsidR="00F37B60" w:rsidRPr="00022228" w:rsidRDefault="00F37B60" w:rsidP="00F37B60">
      <w:pPr>
        <w:jc w:val="center"/>
        <w:rPr>
          <w:b/>
          <w:bCs/>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3605"/>
        <w:gridCol w:w="708"/>
        <w:gridCol w:w="1560"/>
        <w:gridCol w:w="2068"/>
        <w:gridCol w:w="2043"/>
      </w:tblGrid>
      <w:tr w:rsidR="00F37B60" w:rsidRPr="00022228" w:rsidTr="00413A9B">
        <w:trPr>
          <w:trHeight w:val="103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jc w:val="center"/>
              <w:rPr>
                <w:bCs/>
                <w:lang w:bidi="uk-UA"/>
              </w:rPr>
            </w:pPr>
            <w:r w:rsidRPr="00022228">
              <w:rPr>
                <w:bCs/>
              </w:rPr>
              <w:t>№ з/п</w:t>
            </w:r>
          </w:p>
        </w:tc>
        <w:tc>
          <w:tcPr>
            <w:tcW w:w="3605"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jc w:val="center"/>
              <w:rPr>
                <w:bCs/>
                <w:lang w:bidi="uk-UA"/>
              </w:rPr>
            </w:pPr>
            <w:r w:rsidRPr="00022228">
              <w:rPr>
                <w:bCs/>
              </w:rPr>
              <w:t>Найменування товару</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jc w:val="center"/>
              <w:rPr>
                <w:bCs/>
                <w:lang w:bidi="uk-UA"/>
              </w:rPr>
            </w:pPr>
            <w:r w:rsidRPr="00022228">
              <w:rPr>
                <w:bCs/>
              </w:rPr>
              <w:t>Од. вим.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jc w:val="center"/>
              <w:rPr>
                <w:bCs/>
                <w:lang w:bidi="uk-UA"/>
              </w:rPr>
            </w:pPr>
            <w:r w:rsidRPr="00022228">
              <w:rPr>
                <w:bCs/>
              </w:rPr>
              <w:t>Загальна кількість</w:t>
            </w:r>
          </w:p>
        </w:tc>
        <w:tc>
          <w:tcPr>
            <w:tcW w:w="2068" w:type="dxa"/>
            <w:tcBorders>
              <w:top w:val="single" w:sz="4" w:space="0" w:color="auto"/>
              <w:left w:val="single" w:sz="4" w:space="0" w:color="auto"/>
              <w:bottom w:val="single" w:sz="4" w:space="0" w:color="auto"/>
              <w:right w:val="single" w:sz="4" w:space="0" w:color="auto"/>
            </w:tcBorders>
            <w:vAlign w:val="center"/>
            <w:hideMark/>
          </w:tcPr>
          <w:p w:rsidR="00F37B60" w:rsidRPr="00022228" w:rsidRDefault="00F37B60" w:rsidP="00413A9B">
            <w:pPr>
              <w:widowControl w:val="0"/>
              <w:autoSpaceDE w:val="0"/>
              <w:autoSpaceDN w:val="0"/>
              <w:spacing w:line="256" w:lineRule="auto"/>
              <w:ind w:right="-128"/>
              <w:rPr>
                <w:i/>
                <w:lang w:bidi="uk-UA"/>
              </w:rPr>
            </w:pPr>
            <w:r w:rsidRPr="00022228">
              <w:rPr>
                <w:bCs/>
              </w:rPr>
              <w:t>Ціна за одиницю, грн., без ПДВ</w:t>
            </w:r>
          </w:p>
        </w:tc>
        <w:tc>
          <w:tcPr>
            <w:tcW w:w="2043" w:type="dxa"/>
            <w:tcBorders>
              <w:top w:val="single" w:sz="4" w:space="0" w:color="auto"/>
              <w:left w:val="single" w:sz="4" w:space="0" w:color="auto"/>
              <w:bottom w:val="single" w:sz="4" w:space="0" w:color="auto"/>
              <w:right w:val="single" w:sz="4" w:space="0" w:color="auto"/>
            </w:tcBorders>
            <w:vAlign w:val="center"/>
            <w:hideMark/>
          </w:tcPr>
          <w:p w:rsidR="00F37B60" w:rsidRPr="00022228" w:rsidRDefault="00F37B60" w:rsidP="00413A9B">
            <w:pPr>
              <w:widowControl w:val="0"/>
              <w:autoSpaceDE w:val="0"/>
              <w:autoSpaceDN w:val="0"/>
              <w:spacing w:line="256" w:lineRule="auto"/>
              <w:ind w:right="-128"/>
              <w:jc w:val="center"/>
              <w:rPr>
                <w:bCs/>
                <w:lang w:bidi="uk-UA"/>
              </w:rPr>
            </w:pPr>
            <w:r w:rsidRPr="00022228">
              <w:rPr>
                <w:bCs/>
              </w:rPr>
              <w:t>Загальна вартість, грн., без ПДВ</w:t>
            </w:r>
          </w:p>
        </w:tc>
      </w:tr>
      <w:tr w:rsidR="00F37B60" w:rsidRPr="00022228" w:rsidTr="003B465E">
        <w:trPr>
          <w:trHeight w:val="387"/>
        </w:trPr>
        <w:tc>
          <w:tcPr>
            <w:tcW w:w="506"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ind w:left="-45"/>
              <w:jc w:val="center"/>
              <w:rPr>
                <w:lang w:bidi="uk-UA"/>
              </w:rPr>
            </w:pPr>
            <w:r w:rsidRPr="00022228">
              <w:t>1</w:t>
            </w:r>
          </w:p>
        </w:tc>
        <w:tc>
          <w:tcPr>
            <w:tcW w:w="3605" w:type="dxa"/>
            <w:tcBorders>
              <w:top w:val="single" w:sz="4" w:space="0" w:color="auto"/>
              <w:left w:val="single" w:sz="4" w:space="0" w:color="auto"/>
              <w:bottom w:val="single" w:sz="4" w:space="0" w:color="auto"/>
              <w:right w:val="single" w:sz="4" w:space="0" w:color="auto"/>
            </w:tcBorders>
            <w:vAlign w:val="center"/>
            <w:hideMark/>
          </w:tcPr>
          <w:p w:rsidR="00F37B60" w:rsidRPr="00022228" w:rsidRDefault="00F37B60" w:rsidP="00413A9B">
            <w:pPr>
              <w:widowControl w:val="0"/>
              <w:autoSpaceDE w:val="0"/>
              <w:autoSpaceDN w:val="0"/>
              <w:spacing w:line="256" w:lineRule="auto"/>
              <w:rPr>
                <w:bCs/>
                <w:iCs/>
                <w:color w:val="000000"/>
                <w:lang w:bidi="uk-UA"/>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F37B60" w:rsidRPr="00022228" w:rsidRDefault="00F37B60" w:rsidP="00413A9B">
            <w:pPr>
              <w:widowControl w:val="0"/>
              <w:autoSpaceDE w:val="0"/>
              <w:autoSpaceDN w:val="0"/>
              <w:spacing w:line="256" w:lineRule="auto"/>
              <w:jc w:val="center"/>
              <w:rPr>
                <w:lang w:bidi="uk-UA"/>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F37B60" w:rsidRPr="003B465E" w:rsidRDefault="00F37B60" w:rsidP="00413A9B">
            <w:pPr>
              <w:widowControl w:val="0"/>
              <w:autoSpaceDE w:val="0"/>
              <w:autoSpaceDN w:val="0"/>
              <w:spacing w:line="256" w:lineRule="auto"/>
              <w:jc w:val="center"/>
              <w:rPr>
                <w:lang w:val="uk-UA" w:bidi="uk-UA"/>
              </w:rPr>
            </w:pPr>
          </w:p>
        </w:tc>
        <w:tc>
          <w:tcPr>
            <w:tcW w:w="2068" w:type="dxa"/>
            <w:tcBorders>
              <w:top w:val="single" w:sz="4" w:space="0" w:color="auto"/>
              <w:left w:val="single" w:sz="4" w:space="0" w:color="auto"/>
              <w:bottom w:val="single" w:sz="4" w:space="0" w:color="auto"/>
              <w:right w:val="single" w:sz="4" w:space="0" w:color="auto"/>
            </w:tcBorders>
            <w:vAlign w:val="center"/>
          </w:tcPr>
          <w:p w:rsidR="00F37B60" w:rsidRPr="00022228" w:rsidRDefault="00F37B60" w:rsidP="00413A9B">
            <w:pPr>
              <w:widowControl w:val="0"/>
              <w:autoSpaceDE w:val="0"/>
              <w:autoSpaceDN w:val="0"/>
              <w:spacing w:line="256" w:lineRule="auto"/>
              <w:jc w:val="center"/>
              <w:rPr>
                <w:i/>
                <w:lang w:bidi="uk-UA"/>
              </w:rPr>
            </w:pPr>
          </w:p>
        </w:tc>
        <w:tc>
          <w:tcPr>
            <w:tcW w:w="2043" w:type="dxa"/>
            <w:tcBorders>
              <w:top w:val="single" w:sz="4" w:space="0" w:color="auto"/>
              <w:left w:val="single" w:sz="4" w:space="0" w:color="auto"/>
              <w:bottom w:val="single" w:sz="4" w:space="0" w:color="auto"/>
              <w:right w:val="single" w:sz="4" w:space="0" w:color="auto"/>
            </w:tcBorders>
            <w:vAlign w:val="center"/>
          </w:tcPr>
          <w:p w:rsidR="00F37B60" w:rsidRPr="00022228" w:rsidRDefault="00F37B60" w:rsidP="00413A9B">
            <w:pPr>
              <w:widowControl w:val="0"/>
              <w:autoSpaceDE w:val="0"/>
              <w:autoSpaceDN w:val="0"/>
              <w:spacing w:line="256" w:lineRule="auto"/>
              <w:jc w:val="center"/>
              <w:rPr>
                <w:i/>
                <w:lang w:bidi="uk-UA"/>
              </w:rPr>
            </w:pPr>
          </w:p>
        </w:tc>
      </w:tr>
      <w:tr w:rsidR="00F37B60" w:rsidRPr="00022228" w:rsidTr="00413A9B">
        <w:trPr>
          <w:trHeight w:val="300"/>
        </w:trPr>
        <w:tc>
          <w:tcPr>
            <w:tcW w:w="8447" w:type="dxa"/>
            <w:gridSpan w:val="5"/>
            <w:tcBorders>
              <w:top w:val="single" w:sz="4" w:space="0" w:color="auto"/>
              <w:left w:val="single" w:sz="4" w:space="0" w:color="auto"/>
              <w:bottom w:val="single" w:sz="4" w:space="0" w:color="auto"/>
              <w:right w:val="single" w:sz="4" w:space="0" w:color="auto"/>
            </w:tcBorders>
            <w:noWrap/>
            <w:hideMark/>
          </w:tcPr>
          <w:p w:rsidR="00F37B60" w:rsidRPr="00022228" w:rsidRDefault="00F37B60" w:rsidP="00413A9B">
            <w:pPr>
              <w:widowControl w:val="0"/>
              <w:autoSpaceDE w:val="0"/>
              <w:autoSpaceDN w:val="0"/>
              <w:spacing w:line="256" w:lineRule="auto"/>
              <w:jc w:val="right"/>
              <w:rPr>
                <w:b/>
                <w:lang w:bidi="uk-UA"/>
              </w:rPr>
            </w:pPr>
            <w:r w:rsidRPr="00022228">
              <w:rPr>
                <w:b/>
              </w:rPr>
              <w:t>Всього:</w:t>
            </w:r>
          </w:p>
        </w:tc>
        <w:tc>
          <w:tcPr>
            <w:tcW w:w="2043" w:type="dxa"/>
            <w:tcBorders>
              <w:top w:val="single" w:sz="4" w:space="0" w:color="auto"/>
              <w:left w:val="single" w:sz="4" w:space="0" w:color="auto"/>
              <w:bottom w:val="single" w:sz="4" w:space="0" w:color="auto"/>
              <w:right w:val="single" w:sz="4" w:space="0" w:color="auto"/>
            </w:tcBorders>
          </w:tcPr>
          <w:p w:rsidR="00F37B60" w:rsidRPr="00022228" w:rsidRDefault="00F37B60" w:rsidP="00413A9B">
            <w:pPr>
              <w:widowControl w:val="0"/>
              <w:autoSpaceDE w:val="0"/>
              <w:autoSpaceDN w:val="0"/>
              <w:spacing w:line="256" w:lineRule="auto"/>
              <w:jc w:val="center"/>
              <w:rPr>
                <w:i/>
                <w:lang w:bidi="uk-UA"/>
              </w:rPr>
            </w:pPr>
          </w:p>
        </w:tc>
      </w:tr>
      <w:tr w:rsidR="00F37B60" w:rsidRPr="00022228" w:rsidTr="00413A9B">
        <w:trPr>
          <w:trHeight w:val="300"/>
        </w:trPr>
        <w:tc>
          <w:tcPr>
            <w:tcW w:w="8447" w:type="dxa"/>
            <w:gridSpan w:val="5"/>
            <w:tcBorders>
              <w:top w:val="single" w:sz="4" w:space="0" w:color="auto"/>
              <w:left w:val="single" w:sz="4" w:space="0" w:color="auto"/>
              <w:bottom w:val="single" w:sz="4" w:space="0" w:color="auto"/>
              <w:right w:val="single" w:sz="4" w:space="0" w:color="auto"/>
            </w:tcBorders>
            <w:noWrap/>
          </w:tcPr>
          <w:p w:rsidR="00F37B60" w:rsidRPr="00022228" w:rsidRDefault="00F37B60" w:rsidP="00413A9B">
            <w:pPr>
              <w:widowControl w:val="0"/>
              <w:autoSpaceDE w:val="0"/>
              <w:autoSpaceDN w:val="0"/>
              <w:spacing w:line="256" w:lineRule="auto"/>
              <w:jc w:val="right"/>
              <w:rPr>
                <w:b/>
                <w:lang w:bidi="uk-UA"/>
              </w:rPr>
            </w:pPr>
            <w:r w:rsidRPr="00022228">
              <w:rPr>
                <w:b/>
              </w:rPr>
              <w:t>ПДВ:</w:t>
            </w:r>
          </w:p>
        </w:tc>
        <w:tc>
          <w:tcPr>
            <w:tcW w:w="2043" w:type="dxa"/>
            <w:tcBorders>
              <w:top w:val="single" w:sz="4" w:space="0" w:color="auto"/>
              <w:left w:val="single" w:sz="4" w:space="0" w:color="auto"/>
              <w:bottom w:val="single" w:sz="4" w:space="0" w:color="auto"/>
              <w:right w:val="single" w:sz="4" w:space="0" w:color="auto"/>
            </w:tcBorders>
          </w:tcPr>
          <w:p w:rsidR="00F37B60" w:rsidRPr="00022228" w:rsidRDefault="00F37B60" w:rsidP="00413A9B">
            <w:pPr>
              <w:widowControl w:val="0"/>
              <w:autoSpaceDE w:val="0"/>
              <w:autoSpaceDN w:val="0"/>
              <w:spacing w:line="256" w:lineRule="auto"/>
              <w:jc w:val="center"/>
              <w:rPr>
                <w:i/>
                <w:lang w:bidi="uk-UA"/>
              </w:rPr>
            </w:pPr>
          </w:p>
        </w:tc>
      </w:tr>
      <w:tr w:rsidR="00F37B60" w:rsidRPr="00022228" w:rsidTr="00413A9B">
        <w:trPr>
          <w:trHeight w:val="300"/>
        </w:trPr>
        <w:tc>
          <w:tcPr>
            <w:tcW w:w="8447" w:type="dxa"/>
            <w:gridSpan w:val="5"/>
            <w:tcBorders>
              <w:top w:val="single" w:sz="4" w:space="0" w:color="auto"/>
              <w:left w:val="single" w:sz="4" w:space="0" w:color="auto"/>
              <w:bottom w:val="single" w:sz="4" w:space="0" w:color="auto"/>
              <w:right w:val="single" w:sz="4" w:space="0" w:color="auto"/>
            </w:tcBorders>
            <w:noWrap/>
            <w:hideMark/>
          </w:tcPr>
          <w:p w:rsidR="00F37B60" w:rsidRPr="00022228" w:rsidRDefault="00F37B60" w:rsidP="00413A9B">
            <w:pPr>
              <w:widowControl w:val="0"/>
              <w:autoSpaceDE w:val="0"/>
              <w:autoSpaceDN w:val="0"/>
              <w:spacing w:line="256" w:lineRule="auto"/>
              <w:jc w:val="right"/>
              <w:rPr>
                <w:b/>
                <w:lang w:bidi="uk-UA"/>
              </w:rPr>
            </w:pPr>
            <w:r w:rsidRPr="00022228">
              <w:rPr>
                <w:b/>
              </w:rPr>
              <w:t>Всього з ПДВ:</w:t>
            </w:r>
          </w:p>
        </w:tc>
        <w:tc>
          <w:tcPr>
            <w:tcW w:w="2043" w:type="dxa"/>
            <w:tcBorders>
              <w:top w:val="single" w:sz="4" w:space="0" w:color="auto"/>
              <w:left w:val="single" w:sz="4" w:space="0" w:color="auto"/>
              <w:bottom w:val="single" w:sz="4" w:space="0" w:color="auto"/>
              <w:right w:val="single" w:sz="4" w:space="0" w:color="auto"/>
            </w:tcBorders>
          </w:tcPr>
          <w:p w:rsidR="00F37B60" w:rsidRPr="00022228" w:rsidRDefault="00F37B60" w:rsidP="00413A9B">
            <w:pPr>
              <w:widowControl w:val="0"/>
              <w:autoSpaceDE w:val="0"/>
              <w:autoSpaceDN w:val="0"/>
              <w:spacing w:line="256" w:lineRule="auto"/>
              <w:jc w:val="center"/>
              <w:rPr>
                <w:i/>
                <w:lang w:bidi="uk-UA"/>
              </w:rPr>
            </w:pPr>
          </w:p>
        </w:tc>
      </w:tr>
    </w:tbl>
    <w:p w:rsidR="00F37B60" w:rsidRPr="00022228" w:rsidRDefault="00F37B60" w:rsidP="00F37B60">
      <w:pPr>
        <w:tabs>
          <w:tab w:val="left" w:pos="1584"/>
        </w:tabs>
        <w:rPr>
          <w:b/>
          <w:bCs/>
        </w:rPr>
      </w:pPr>
    </w:p>
    <w:p w:rsidR="00F37B60" w:rsidRPr="00022228" w:rsidRDefault="00F37B60" w:rsidP="00F37B60">
      <w:pPr>
        <w:tabs>
          <w:tab w:val="left" w:pos="1584"/>
        </w:tabs>
        <w:rPr>
          <w:b/>
          <w:lang w:bidi="uk-UA"/>
        </w:rPr>
      </w:pPr>
    </w:p>
    <w:p w:rsidR="00F37B60" w:rsidRPr="00022228" w:rsidRDefault="00F37B60" w:rsidP="00F37B60">
      <w:pPr>
        <w:rPr>
          <w:vanish/>
        </w:rPr>
      </w:pPr>
    </w:p>
    <w:tbl>
      <w:tblPr>
        <w:tblW w:w="0" w:type="auto"/>
        <w:tblLook w:val="04A0" w:firstRow="1" w:lastRow="0" w:firstColumn="1" w:lastColumn="0" w:noHBand="0" w:noVBand="1"/>
      </w:tblPr>
      <w:tblGrid>
        <w:gridCol w:w="4849"/>
        <w:gridCol w:w="4840"/>
      </w:tblGrid>
      <w:tr w:rsidR="00F37B60" w:rsidRPr="00022228" w:rsidTr="00413A9B">
        <w:tc>
          <w:tcPr>
            <w:tcW w:w="5069" w:type="dxa"/>
          </w:tcPr>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rPr>
            </w:pPr>
          </w:p>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p>
          <w:p w:rsidR="00F37B60" w:rsidRPr="00022228" w:rsidRDefault="00F37B60" w:rsidP="0041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b/>
                <w:color w:val="000000"/>
                <w:lang w:bidi="uk-UA"/>
              </w:rPr>
            </w:pPr>
            <w:r w:rsidRPr="00022228">
              <w:rPr>
                <w:b/>
                <w:bCs/>
              </w:rPr>
              <w:t>Постачальник</w:t>
            </w:r>
          </w:p>
        </w:tc>
        <w:tc>
          <w:tcPr>
            <w:tcW w:w="5070" w:type="dxa"/>
          </w:tcPr>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rPr>
            </w:pPr>
          </w:p>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p>
          <w:p w:rsidR="00F37B60" w:rsidRPr="00022228" w:rsidRDefault="00F37B60" w:rsidP="0041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b/>
                <w:color w:val="000000"/>
                <w:lang w:bidi="uk-UA"/>
              </w:rPr>
            </w:pPr>
            <w:r w:rsidRPr="00022228">
              <w:rPr>
                <w:b/>
                <w:bCs/>
              </w:rPr>
              <w:t>Покупець</w:t>
            </w:r>
          </w:p>
        </w:tc>
      </w:tr>
      <w:tr w:rsidR="00F37B60" w:rsidRPr="00022228" w:rsidTr="00413A9B">
        <w:tc>
          <w:tcPr>
            <w:tcW w:w="5069" w:type="dxa"/>
          </w:tcPr>
          <w:p w:rsidR="00F37B60" w:rsidRPr="00022228" w:rsidRDefault="00F37B60" w:rsidP="00413A9B">
            <w:pPr>
              <w:spacing w:line="228" w:lineRule="auto"/>
              <w:rPr>
                <w:b/>
                <w:bCs/>
                <w:lang w:bidi="uk-UA"/>
              </w:rPr>
            </w:pPr>
          </w:p>
          <w:p w:rsidR="00F37B60" w:rsidRPr="00022228" w:rsidRDefault="00F37B60" w:rsidP="00413A9B">
            <w:pPr>
              <w:spacing w:line="228" w:lineRule="auto"/>
              <w:rPr>
                <w:b/>
                <w:bCs/>
              </w:rPr>
            </w:pPr>
          </w:p>
          <w:p w:rsidR="00F37B60" w:rsidRPr="00022228" w:rsidRDefault="00F37B60" w:rsidP="00413A9B">
            <w:pPr>
              <w:spacing w:line="228" w:lineRule="auto"/>
              <w:rPr>
                <w:b/>
                <w:bCs/>
              </w:rPr>
            </w:pPr>
          </w:p>
          <w:p w:rsidR="00F37B60" w:rsidRPr="00022228" w:rsidRDefault="00F37B60" w:rsidP="00413A9B">
            <w:pPr>
              <w:spacing w:line="228" w:lineRule="auto"/>
              <w:rPr>
                <w:b/>
                <w:bCs/>
              </w:rPr>
            </w:pPr>
          </w:p>
          <w:p w:rsidR="00F37B60" w:rsidRPr="00022228" w:rsidRDefault="00F37B60" w:rsidP="00413A9B">
            <w:pPr>
              <w:spacing w:line="228" w:lineRule="auto"/>
              <w:rPr>
                <w:b/>
                <w:bCs/>
              </w:rPr>
            </w:pPr>
          </w:p>
          <w:p w:rsidR="00F37B60" w:rsidRPr="00022228" w:rsidRDefault="00F37B60" w:rsidP="00413A9B">
            <w:pPr>
              <w:spacing w:line="228" w:lineRule="auto"/>
              <w:rPr>
                <w:b/>
                <w:bCs/>
              </w:rPr>
            </w:pPr>
          </w:p>
          <w:p w:rsidR="00F37B60" w:rsidRPr="00022228" w:rsidRDefault="00F37B60" w:rsidP="00413A9B">
            <w:pPr>
              <w:spacing w:line="228" w:lineRule="auto"/>
              <w:rPr>
                <w:bCs/>
                <w:i/>
                <w:iCs/>
              </w:rPr>
            </w:pPr>
            <w:r w:rsidRPr="00022228">
              <w:rPr>
                <w:b/>
                <w:bCs/>
              </w:rPr>
              <w:t xml:space="preserve">_________________ </w:t>
            </w:r>
          </w:p>
          <w:p w:rsidR="00F37B60" w:rsidRPr="00022228" w:rsidRDefault="00F37B60" w:rsidP="0041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bidi="uk-UA"/>
              </w:rPr>
            </w:pPr>
            <w:r w:rsidRPr="00022228">
              <w:rPr>
                <w:bCs/>
              </w:rPr>
              <w:t>М.П.</w:t>
            </w:r>
          </w:p>
        </w:tc>
        <w:tc>
          <w:tcPr>
            <w:tcW w:w="5070" w:type="dxa"/>
          </w:tcPr>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lang w:bidi="uk-UA"/>
              </w:rPr>
            </w:pPr>
          </w:p>
          <w:p w:rsidR="00F37B60" w:rsidRPr="00022228" w:rsidRDefault="00F37B60" w:rsidP="00413A9B">
            <w:pPr>
              <w:spacing w:line="228" w:lineRule="auto"/>
            </w:pPr>
          </w:p>
          <w:p w:rsidR="00F37B60" w:rsidRPr="00022228" w:rsidRDefault="00F37B60" w:rsidP="00413A9B">
            <w:pPr>
              <w:spacing w:line="228" w:lineRule="auto"/>
            </w:pPr>
          </w:p>
          <w:p w:rsidR="00F37B60" w:rsidRPr="00022228" w:rsidRDefault="00F37B60" w:rsidP="00413A9B">
            <w:pPr>
              <w:spacing w:line="228" w:lineRule="auto"/>
            </w:pPr>
          </w:p>
          <w:p w:rsidR="00F37B60" w:rsidRPr="00022228" w:rsidRDefault="00F37B60" w:rsidP="00413A9B">
            <w:pPr>
              <w:spacing w:line="228" w:lineRule="auto"/>
              <w:rPr>
                <w:b/>
                <w:bCs/>
              </w:rPr>
            </w:pPr>
            <w:r w:rsidRPr="00022228">
              <w:rPr>
                <w:b/>
                <w:bCs/>
              </w:rPr>
              <w:t xml:space="preserve">Директор                                      </w:t>
            </w:r>
          </w:p>
          <w:p w:rsidR="00F37B60" w:rsidRPr="00022228" w:rsidRDefault="00F37B60" w:rsidP="00413A9B">
            <w:pPr>
              <w:spacing w:line="228" w:lineRule="auto"/>
              <w:rPr>
                <w:b/>
                <w:bCs/>
              </w:rPr>
            </w:pPr>
          </w:p>
          <w:p w:rsidR="00F37B60" w:rsidRPr="00022228" w:rsidRDefault="00F37B60" w:rsidP="00413A9B">
            <w:pPr>
              <w:spacing w:line="228" w:lineRule="auto"/>
              <w:rPr>
                <w:bCs/>
                <w:i/>
                <w:iCs/>
              </w:rPr>
            </w:pPr>
            <w:r w:rsidRPr="00022228">
              <w:rPr>
                <w:b/>
                <w:bCs/>
              </w:rPr>
              <w:t xml:space="preserve"> ____</w:t>
            </w:r>
            <w:r>
              <w:rPr>
                <w:b/>
                <w:bCs/>
              </w:rPr>
              <w:t>___________</w:t>
            </w:r>
            <w:proofErr w:type="gramStart"/>
            <w:r>
              <w:rPr>
                <w:b/>
                <w:bCs/>
              </w:rPr>
              <w:t xml:space="preserve">_  </w:t>
            </w:r>
            <w:r w:rsidR="00635EAF">
              <w:rPr>
                <w:b/>
                <w:bCs/>
                <w:lang w:val="uk-UA"/>
              </w:rPr>
              <w:t>Іван</w:t>
            </w:r>
            <w:proofErr w:type="gramEnd"/>
            <w:r w:rsidR="00635EAF">
              <w:rPr>
                <w:b/>
                <w:bCs/>
                <w:lang w:val="uk-UA"/>
              </w:rPr>
              <w:t xml:space="preserve"> </w:t>
            </w:r>
            <w:r w:rsidRPr="00022228">
              <w:rPr>
                <w:b/>
                <w:bCs/>
              </w:rPr>
              <w:t>Скорупський</w:t>
            </w:r>
          </w:p>
          <w:p w:rsidR="00F37B60" w:rsidRPr="00022228" w:rsidRDefault="00F37B60" w:rsidP="0041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bidi="uk-UA"/>
              </w:rPr>
            </w:pPr>
            <w:r w:rsidRPr="00022228">
              <w:rPr>
                <w:bCs/>
              </w:rPr>
              <w:t>М.П.</w:t>
            </w:r>
          </w:p>
        </w:tc>
      </w:tr>
    </w:tbl>
    <w:p w:rsidR="00F37B60" w:rsidRPr="007931FE" w:rsidRDefault="00F37B60" w:rsidP="00F37B60">
      <w:pPr>
        <w:jc w:val="center"/>
        <w:rPr>
          <w:highlight w:val="yellow"/>
        </w:rPr>
      </w:pPr>
    </w:p>
    <w:p w:rsidR="008A6115" w:rsidRPr="00F37B60" w:rsidRDefault="008A6115" w:rsidP="00F37B60">
      <w:pPr>
        <w:rPr>
          <w:rFonts w:eastAsia="Calibri"/>
          <w:lang w:eastAsia="en-US"/>
        </w:rPr>
      </w:pPr>
    </w:p>
    <w:sectPr w:rsidR="008A6115" w:rsidRPr="00F37B60"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3A" w:rsidRDefault="00C11A3A" w:rsidP="004F319E">
      <w:r>
        <w:separator/>
      </w:r>
    </w:p>
  </w:endnote>
  <w:endnote w:type="continuationSeparator" w:id="0">
    <w:p w:rsidR="00C11A3A" w:rsidRDefault="00C11A3A"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5A8F" w:rsidRDefault="00BE5A8F"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right"/>
    </w:pPr>
    <w:r>
      <w:fldChar w:fldCharType="begin"/>
    </w:r>
    <w:r>
      <w:instrText xml:space="preserve"> PAGE   \* MERGEFORMAT </w:instrText>
    </w:r>
    <w:r>
      <w:fldChar w:fldCharType="separate"/>
    </w:r>
    <w:r w:rsidR="00AC36A0">
      <w:rPr>
        <w:noProof/>
      </w:rPr>
      <w:t>21</w:t>
    </w:r>
    <w:r>
      <w:rPr>
        <w:noProof/>
      </w:rPr>
      <w:fldChar w:fldCharType="end"/>
    </w:r>
  </w:p>
  <w:p w:rsidR="00BE5A8F" w:rsidRDefault="00BE5A8F"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0F4336" w:rsidRDefault="00BE5A8F">
    <w:pPr>
      <w:pStyle w:val="a6"/>
      <w:jc w:val="right"/>
      <w:rPr>
        <w:lang w:val="uk-UA"/>
      </w:rPr>
    </w:pPr>
  </w:p>
  <w:p w:rsidR="00BE5A8F" w:rsidRDefault="00BE5A8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center"/>
    </w:pPr>
    <w:r>
      <w:fldChar w:fldCharType="begin"/>
    </w:r>
    <w:r>
      <w:instrText xml:space="preserve"> PAGE   \* MERGEFORMAT </w:instrText>
    </w:r>
    <w:r>
      <w:fldChar w:fldCharType="separate"/>
    </w:r>
    <w:r w:rsidR="00AC36A0">
      <w:rPr>
        <w:noProof/>
      </w:rPr>
      <w:t>25</w:t>
    </w:r>
    <w:r>
      <w:fldChar w:fldCharType="end"/>
    </w:r>
  </w:p>
  <w:p w:rsidR="00BE5A8F" w:rsidRPr="004A1F8B" w:rsidRDefault="00BE5A8F">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5B4A61" w:rsidRDefault="00BE5A8F"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3A" w:rsidRDefault="00C11A3A" w:rsidP="004F319E">
      <w:r>
        <w:separator/>
      </w:r>
    </w:p>
  </w:footnote>
  <w:footnote w:type="continuationSeparator" w:id="0">
    <w:p w:rsidR="00C11A3A" w:rsidRDefault="00C11A3A"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B92B7A">
    <w:pPr>
      <w:pStyle w:val="ac"/>
      <w:jc w:val="right"/>
    </w:pPr>
  </w:p>
  <w:p w:rsidR="00BE5A8F" w:rsidRDefault="00BE5A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0"/>
  </w:num>
  <w:num w:numId="2">
    <w:abstractNumId w:val="5"/>
  </w:num>
  <w:num w:numId="3">
    <w:abstractNumId w:val="6"/>
  </w:num>
  <w:num w:numId="4">
    <w:abstractNumId w:val="4"/>
  </w:num>
  <w:num w:numId="5">
    <w:abstractNumId w:val="7"/>
  </w:num>
  <w:num w:numId="6">
    <w:abstractNumId w:val="8"/>
  </w:num>
  <w:num w:numId="7">
    <w:abstractNumId w:val="3"/>
  </w:num>
  <w:num w:numId="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7255"/>
    <w:rsid w:val="00020551"/>
    <w:rsid w:val="00021023"/>
    <w:rsid w:val="00021EB6"/>
    <w:rsid w:val="000224CC"/>
    <w:rsid w:val="00022699"/>
    <w:rsid w:val="00022DBD"/>
    <w:rsid w:val="0002313E"/>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4742"/>
    <w:rsid w:val="00064856"/>
    <w:rsid w:val="0006547E"/>
    <w:rsid w:val="0006640B"/>
    <w:rsid w:val="00066C5F"/>
    <w:rsid w:val="00067ACE"/>
    <w:rsid w:val="000700BB"/>
    <w:rsid w:val="00071B5D"/>
    <w:rsid w:val="00071F64"/>
    <w:rsid w:val="000727FC"/>
    <w:rsid w:val="0007292D"/>
    <w:rsid w:val="00072CCC"/>
    <w:rsid w:val="00073517"/>
    <w:rsid w:val="00074319"/>
    <w:rsid w:val="0007645D"/>
    <w:rsid w:val="00076B41"/>
    <w:rsid w:val="00077CF3"/>
    <w:rsid w:val="00077D7B"/>
    <w:rsid w:val="00077E3F"/>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9F5"/>
    <w:rsid w:val="00163CC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C88"/>
    <w:rsid w:val="0020712B"/>
    <w:rsid w:val="002079EC"/>
    <w:rsid w:val="002109E1"/>
    <w:rsid w:val="00210B17"/>
    <w:rsid w:val="00210C4F"/>
    <w:rsid w:val="00210CAD"/>
    <w:rsid w:val="00211B4C"/>
    <w:rsid w:val="00211E5D"/>
    <w:rsid w:val="0021300D"/>
    <w:rsid w:val="002133AE"/>
    <w:rsid w:val="00214A92"/>
    <w:rsid w:val="0021596E"/>
    <w:rsid w:val="0021659D"/>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BB6"/>
    <w:rsid w:val="002301B7"/>
    <w:rsid w:val="00230C39"/>
    <w:rsid w:val="00231077"/>
    <w:rsid w:val="00231750"/>
    <w:rsid w:val="00231917"/>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851"/>
    <w:rsid w:val="003C4AFB"/>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94F"/>
    <w:rsid w:val="00446D9D"/>
    <w:rsid w:val="00450318"/>
    <w:rsid w:val="00450621"/>
    <w:rsid w:val="00450955"/>
    <w:rsid w:val="00450E38"/>
    <w:rsid w:val="00450F4D"/>
    <w:rsid w:val="00453191"/>
    <w:rsid w:val="004538CA"/>
    <w:rsid w:val="004540EF"/>
    <w:rsid w:val="0045432A"/>
    <w:rsid w:val="004549EF"/>
    <w:rsid w:val="00454A95"/>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D0214"/>
    <w:rsid w:val="004D09D9"/>
    <w:rsid w:val="004D0B55"/>
    <w:rsid w:val="004D0F54"/>
    <w:rsid w:val="004D175A"/>
    <w:rsid w:val="004D2A6A"/>
    <w:rsid w:val="004D3D91"/>
    <w:rsid w:val="004D472D"/>
    <w:rsid w:val="004D47A4"/>
    <w:rsid w:val="004D4C34"/>
    <w:rsid w:val="004D4E1F"/>
    <w:rsid w:val="004D59C1"/>
    <w:rsid w:val="004D5E65"/>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21CC"/>
    <w:rsid w:val="005E28CA"/>
    <w:rsid w:val="005E330E"/>
    <w:rsid w:val="005E4597"/>
    <w:rsid w:val="005E4D8F"/>
    <w:rsid w:val="005E557B"/>
    <w:rsid w:val="005E5771"/>
    <w:rsid w:val="005E6A83"/>
    <w:rsid w:val="005E6DCB"/>
    <w:rsid w:val="005E7659"/>
    <w:rsid w:val="005E7893"/>
    <w:rsid w:val="005E79B3"/>
    <w:rsid w:val="005E7AED"/>
    <w:rsid w:val="005E7E19"/>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B49"/>
    <w:rsid w:val="007C60A8"/>
    <w:rsid w:val="007C70DF"/>
    <w:rsid w:val="007C70F5"/>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2F0"/>
    <w:rsid w:val="008F15D4"/>
    <w:rsid w:val="008F1C0E"/>
    <w:rsid w:val="008F1DF9"/>
    <w:rsid w:val="008F1EB5"/>
    <w:rsid w:val="008F205D"/>
    <w:rsid w:val="008F3025"/>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DBE"/>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E3D"/>
    <w:rsid w:val="009C5EC5"/>
    <w:rsid w:val="009C61C8"/>
    <w:rsid w:val="009C6843"/>
    <w:rsid w:val="009C686C"/>
    <w:rsid w:val="009C686F"/>
    <w:rsid w:val="009D0450"/>
    <w:rsid w:val="009D08DA"/>
    <w:rsid w:val="009D0A8A"/>
    <w:rsid w:val="009D0EA5"/>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616D"/>
    <w:rsid w:val="00A3729A"/>
    <w:rsid w:val="00A4001F"/>
    <w:rsid w:val="00A40344"/>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50B"/>
    <w:rsid w:val="00AA6C04"/>
    <w:rsid w:val="00AA6C98"/>
    <w:rsid w:val="00AA7412"/>
    <w:rsid w:val="00AA7FC7"/>
    <w:rsid w:val="00AB0277"/>
    <w:rsid w:val="00AB28E6"/>
    <w:rsid w:val="00AB2A18"/>
    <w:rsid w:val="00AB2BE6"/>
    <w:rsid w:val="00AB2BF4"/>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302"/>
    <w:rsid w:val="00BC1D02"/>
    <w:rsid w:val="00BC3110"/>
    <w:rsid w:val="00BC35E6"/>
    <w:rsid w:val="00BC3C2D"/>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069"/>
    <w:rsid w:val="00BF7814"/>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3577"/>
    <w:rsid w:val="00C73A6E"/>
    <w:rsid w:val="00C75536"/>
    <w:rsid w:val="00C76A9C"/>
    <w:rsid w:val="00C76D03"/>
    <w:rsid w:val="00C76EC1"/>
    <w:rsid w:val="00C77556"/>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1D0D"/>
    <w:rsid w:val="00CA2048"/>
    <w:rsid w:val="00CA21C4"/>
    <w:rsid w:val="00CA23EE"/>
    <w:rsid w:val="00CA2B54"/>
    <w:rsid w:val="00CA3B82"/>
    <w:rsid w:val="00CA43F0"/>
    <w:rsid w:val="00CA500F"/>
    <w:rsid w:val="00CA63FA"/>
    <w:rsid w:val="00CA6770"/>
    <w:rsid w:val="00CA7A5A"/>
    <w:rsid w:val="00CA7ECF"/>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A1A"/>
    <w:rsid w:val="00D77207"/>
    <w:rsid w:val="00D80E23"/>
    <w:rsid w:val="00D81190"/>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BC"/>
    <w:rsid w:val="00D94CF4"/>
    <w:rsid w:val="00D94E71"/>
    <w:rsid w:val="00D961A6"/>
    <w:rsid w:val="00D9629A"/>
    <w:rsid w:val="00D96C89"/>
    <w:rsid w:val="00D9704B"/>
    <w:rsid w:val="00DA0458"/>
    <w:rsid w:val="00DA07CD"/>
    <w:rsid w:val="00DA0C11"/>
    <w:rsid w:val="00DA11B3"/>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100D"/>
    <w:rsid w:val="00EE1D89"/>
    <w:rsid w:val="00EE2379"/>
    <w:rsid w:val="00EE289C"/>
    <w:rsid w:val="00EE2D56"/>
    <w:rsid w:val="00EE2DFF"/>
    <w:rsid w:val="00EE2F52"/>
    <w:rsid w:val="00EE354B"/>
    <w:rsid w:val="00EE36B5"/>
    <w:rsid w:val="00EE3EBD"/>
    <w:rsid w:val="00EE46CD"/>
    <w:rsid w:val="00EE472C"/>
    <w:rsid w:val="00EE49D2"/>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27B"/>
    <w:rsid w:val="00F1183D"/>
    <w:rsid w:val="00F12387"/>
    <w:rsid w:val="00F12904"/>
    <w:rsid w:val="00F12F45"/>
    <w:rsid w:val="00F12F98"/>
    <w:rsid w:val="00F1346C"/>
    <w:rsid w:val="00F14367"/>
    <w:rsid w:val="00F1452E"/>
    <w:rsid w:val="00F14EFD"/>
    <w:rsid w:val="00F16439"/>
    <w:rsid w:val="00F166E7"/>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382"/>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7A37"/>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1A3B3-A495-417C-819F-5BF1DE83C40E}">
  <ds:schemaRefs>
    <ds:schemaRef ds:uri="http://schemas.openxmlformats.org/officeDocument/2006/bibliography"/>
  </ds:schemaRefs>
</ds:datastoreItem>
</file>

<file path=customXml/itemProps2.xml><?xml version="1.0" encoding="utf-8"?>
<ds:datastoreItem xmlns:ds="http://schemas.openxmlformats.org/officeDocument/2006/customXml" ds:itemID="{7A76948F-802D-4D6F-B604-3836F21C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5783</TotalTime>
  <Pages>30</Pages>
  <Words>11189</Words>
  <Characters>63782</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74822</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1894</cp:revision>
  <cp:lastPrinted>2023-01-05T08:48:00Z</cp:lastPrinted>
  <dcterms:created xsi:type="dcterms:W3CDTF">2022-12-12T15:04:00Z</dcterms:created>
  <dcterms:modified xsi:type="dcterms:W3CDTF">2024-02-15T13:27:00Z</dcterms:modified>
</cp:coreProperties>
</file>