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93720" w14:textId="2819AD41" w:rsidR="00C86174" w:rsidRPr="00F71B2E" w:rsidRDefault="00C86174" w:rsidP="0003442E">
      <w:pPr>
        <w:keepNext/>
        <w:keepLines/>
        <w:jc w:val="right"/>
        <w:rPr>
          <w:b/>
        </w:rPr>
      </w:pPr>
      <w:r w:rsidRPr="0003442E">
        <w:rPr>
          <w:b/>
        </w:rPr>
        <w:t>ДОДАТОК 3</w:t>
      </w:r>
      <w:r w:rsidR="00050B7C">
        <w:rPr>
          <w:b/>
        </w:rPr>
        <w:t xml:space="preserve"> </w:t>
      </w:r>
      <w:bookmarkStart w:id="0" w:name="_GoBack"/>
      <w:bookmarkEnd w:id="0"/>
    </w:p>
    <w:p w14:paraId="6BE4784D" w14:textId="77777777" w:rsidR="00C86174" w:rsidRPr="00F71B2E" w:rsidRDefault="00C86174" w:rsidP="0003442E">
      <w:pPr>
        <w:keepNext/>
        <w:keepLines/>
        <w:jc w:val="right"/>
        <w:rPr>
          <w:b/>
          <w:color w:val="000000"/>
        </w:rPr>
      </w:pPr>
      <w:r w:rsidRPr="00F71B2E">
        <w:rPr>
          <w:b/>
          <w:color w:val="000000"/>
        </w:rPr>
        <w:t>до тендерної документації</w:t>
      </w:r>
    </w:p>
    <w:p w14:paraId="36E80C39" w14:textId="77777777" w:rsidR="00C86174" w:rsidRPr="00F71B2E" w:rsidRDefault="00C86174" w:rsidP="00F71B2E">
      <w:pPr>
        <w:spacing w:after="120"/>
        <w:rPr>
          <w:rFonts w:eastAsia="Calibri"/>
          <w:b/>
          <w:bCs/>
          <w:lang w:eastAsia="en-US"/>
        </w:rPr>
      </w:pPr>
    </w:p>
    <w:p w14:paraId="7F29B00F" w14:textId="77777777" w:rsidR="009F5305" w:rsidRPr="00F71B2E" w:rsidRDefault="009F5305" w:rsidP="00F71B2E">
      <w:pPr>
        <w:spacing w:after="120"/>
        <w:jc w:val="center"/>
        <w:rPr>
          <w:b/>
          <w:color w:val="000000"/>
        </w:rPr>
      </w:pPr>
      <w:r w:rsidRPr="00F71B2E">
        <w:rPr>
          <w:b/>
          <w:color w:val="000000"/>
        </w:rPr>
        <w:t>ТЕХНІЧНЕ ЗАВДАННЯ</w:t>
      </w:r>
    </w:p>
    <w:p w14:paraId="7D5428FB" w14:textId="77777777" w:rsidR="009F5305" w:rsidRPr="00F71B2E" w:rsidRDefault="00680227" w:rsidP="00F71B2E">
      <w:pPr>
        <w:tabs>
          <w:tab w:val="left" w:pos="3315"/>
        </w:tabs>
        <w:spacing w:after="120"/>
        <w:jc w:val="center"/>
        <w:rPr>
          <w:b/>
          <w:color w:val="000000"/>
        </w:rPr>
      </w:pPr>
      <w:r w:rsidRPr="00F71B2E">
        <w:rPr>
          <w:b/>
          <w:color w:val="000000"/>
        </w:rPr>
        <w:t>Інформація про необхідні технічні, якісні та кількісні характеристики предмета закупівлі та вимоги що</w:t>
      </w:r>
      <w:r w:rsidR="000B320E" w:rsidRPr="00F71B2E">
        <w:rPr>
          <w:b/>
          <w:color w:val="000000"/>
        </w:rPr>
        <w:t>до надання документів учасників</w:t>
      </w:r>
      <w:r w:rsidRPr="00F71B2E">
        <w:rPr>
          <w:b/>
          <w:color w:val="000000"/>
        </w:rPr>
        <w:t xml:space="preserve"> для підтвердження такої відповідності</w:t>
      </w:r>
    </w:p>
    <w:p w14:paraId="20B51700" w14:textId="77777777" w:rsidR="00C86174" w:rsidRPr="00F71B2E" w:rsidRDefault="00C86174" w:rsidP="0003442E">
      <w:pPr>
        <w:widowControl w:val="0"/>
        <w:tabs>
          <w:tab w:val="left" w:pos="567"/>
        </w:tabs>
        <w:autoSpaceDE w:val="0"/>
        <w:autoSpaceDN w:val="0"/>
        <w:adjustRightInd w:val="0"/>
        <w:ind w:firstLine="567"/>
        <w:jc w:val="both"/>
        <w:rPr>
          <w:color w:val="000000"/>
          <w:lang w:eastAsia="ar-SA"/>
        </w:rPr>
      </w:pPr>
      <w:r w:rsidRPr="00F71B2E">
        <w:rPr>
          <w:color w:val="000000"/>
          <w:lang w:eastAsia="ar-SA"/>
        </w:rPr>
        <w:t>Учасник процедури закупівлі повинен представити як частину своєї тендерної пропозиції документи, що підтверджують прийнятність і відповідність товару технічній специфікації.</w:t>
      </w:r>
    </w:p>
    <w:p w14:paraId="5E40318A" w14:textId="1BC91CF7" w:rsidR="00C86174" w:rsidRPr="00F71B2E" w:rsidRDefault="00C86174" w:rsidP="0003442E">
      <w:pPr>
        <w:widowControl w:val="0"/>
        <w:tabs>
          <w:tab w:val="left" w:pos="567"/>
        </w:tabs>
        <w:autoSpaceDE w:val="0"/>
        <w:autoSpaceDN w:val="0"/>
        <w:adjustRightInd w:val="0"/>
        <w:ind w:firstLine="567"/>
        <w:jc w:val="both"/>
        <w:rPr>
          <w:color w:val="000000"/>
          <w:lang w:eastAsia="ar-SA"/>
        </w:rPr>
      </w:pPr>
      <w:r w:rsidRPr="00F71B2E">
        <w:rPr>
          <w:color w:val="000000"/>
          <w:lang w:eastAsia="ar-SA"/>
        </w:rPr>
        <w:t>Предмет закупівлі: Тверде паливо</w:t>
      </w:r>
      <w:r w:rsidR="00F71B2E">
        <w:rPr>
          <w:color w:val="000000"/>
          <w:lang w:eastAsia="ar-SA"/>
        </w:rPr>
        <w:t xml:space="preserve"> (</w:t>
      </w:r>
      <w:r w:rsidR="00F71B2E" w:rsidRPr="00F71B2E">
        <w:rPr>
          <w:color w:val="000000"/>
          <w:lang w:eastAsia="ar-SA"/>
        </w:rPr>
        <w:t>вугілля  кам’яне марки Г</w:t>
      </w:r>
      <w:r w:rsidR="00F7690A">
        <w:rPr>
          <w:color w:val="000000"/>
          <w:lang w:val="ru-RU" w:eastAsia="ar-SA"/>
        </w:rPr>
        <w:t xml:space="preserve"> (Г1)</w:t>
      </w:r>
      <w:r w:rsidR="00F71B2E" w:rsidRPr="00F71B2E">
        <w:rPr>
          <w:color w:val="000000"/>
          <w:lang w:eastAsia="ar-SA"/>
        </w:rPr>
        <w:t xml:space="preserve"> (13-</w:t>
      </w:r>
      <w:r w:rsidR="00F7690A">
        <w:rPr>
          <w:color w:val="000000"/>
          <w:lang w:val="ru-RU" w:eastAsia="ar-SA"/>
        </w:rPr>
        <w:t>25)</w:t>
      </w:r>
      <w:r w:rsidR="007B4FFB" w:rsidRPr="00F71B2E">
        <w:rPr>
          <w:color w:val="000000"/>
          <w:lang w:eastAsia="ar-SA"/>
        </w:rPr>
        <w:t>,</w:t>
      </w:r>
      <w:r w:rsidRPr="00F71B2E">
        <w:rPr>
          <w:color w:val="000000"/>
          <w:lang w:eastAsia="ar-SA"/>
        </w:rPr>
        <w:t xml:space="preserve"> </w:t>
      </w:r>
      <w:r w:rsidR="00484B66" w:rsidRPr="00F71B2E">
        <w:rPr>
          <w:color w:val="000000"/>
          <w:lang w:eastAsia="ar-SA"/>
        </w:rPr>
        <w:t>за кодом</w:t>
      </w:r>
      <w:r w:rsidR="007B4FFB" w:rsidRPr="00F71B2E">
        <w:rPr>
          <w:color w:val="000000"/>
          <w:lang w:eastAsia="ar-SA"/>
        </w:rPr>
        <w:t xml:space="preserve"> ДК 021:2015 - 09110000-3  </w:t>
      </w:r>
    </w:p>
    <w:p w14:paraId="5FB97377" w14:textId="02FBBC38" w:rsidR="00324213" w:rsidRPr="00F71B2E" w:rsidRDefault="00124D90" w:rsidP="0003442E">
      <w:pPr>
        <w:widowControl w:val="0"/>
        <w:tabs>
          <w:tab w:val="left" w:pos="567"/>
        </w:tabs>
        <w:autoSpaceDE w:val="0"/>
        <w:autoSpaceDN w:val="0"/>
        <w:adjustRightInd w:val="0"/>
        <w:ind w:firstLine="567"/>
        <w:jc w:val="both"/>
        <w:rPr>
          <w:color w:val="000000"/>
          <w:lang w:eastAsia="ar-SA"/>
        </w:rPr>
      </w:pPr>
      <w:r w:rsidRPr="00F71B2E">
        <w:rPr>
          <w:color w:val="000000"/>
          <w:lang w:eastAsia="ar-SA"/>
        </w:rPr>
        <w:t>Запропо</w:t>
      </w:r>
      <w:r w:rsidR="00260431" w:rsidRPr="00F71B2E">
        <w:rPr>
          <w:color w:val="000000"/>
          <w:lang w:eastAsia="ar-SA"/>
        </w:rPr>
        <w:t xml:space="preserve">новане Учасником вугілля кам’яне марки </w:t>
      </w:r>
      <w:r w:rsidR="00E7678C" w:rsidRPr="00F71B2E">
        <w:rPr>
          <w:color w:val="000000"/>
          <w:lang w:eastAsia="ar-SA"/>
        </w:rPr>
        <w:t>Г</w:t>
      </w:r>
      <w:r w:rsidR="00F7690A">
        <w:rPr>
          <w:color w:val="000000"/>
          <w:lang w:val="ru-RU" w:eastAsia="ar-SA"/>
        </w:rPr>
        <w:t xml:space="preserve"> (Г1)</w:t>
      </w:r>
      <w:r w:rsidR="00F7690A">
        <w:rPr>
          <w:color w:val="000000"/>
          <w:lang w:eastAsia="ar-SA"/>
        </w:rPr>
        <w:t xml:space="preserve"> (13-25</w:t>
      </w:r>
      <w:r w:rsidR="00E7678C" w:rsidRPr="00F71B2E">
        <w:rPr>
          <w:color w:val="000000"/>
          <w:lang w:eastAsia="ar-SA"/>
        </w:rPr>
        <w:t>)</w:t>
      </w:r>
      <w:r w:rsidR="00260431" w:rsidRPr="00F71B2E">
        <w:rPr>
          <w:color w:val="000000"/>
          <w:lang w:eastAsia="ar-SA"/>
        </w:rPr>
        <w:t xml:space="preserve"> </w:t>
      </w:r>
      <w:r w:rsidRPr="00F71B2E">
        <w:rPr>
          <w:color w:val="000000"/>
          <w:lang w:eastAsia="ar-SA"/>
        </w:rPr>
        <w:t>повинн</w:t>
      </w:r>
      <w:r w:rsidR="00AC49F7" w:rsidRPr="00F71B2E">
        <w:rPr>
          <w:color w:val="000000"/>
          <w:lang w:eastAsia="ar-SA"/>
        </w:rPr>
        <w:t>о</w:t>
      </w:r>
      <w:r w:rsidRPr="00F71B2E">
        <w:rPr>
          <w:color w:val="000000"/>
          <w:lang w:eastAsia="ar-SA"/>
        </w:rPr>
        <w:t xml:space="preserve"> відповідати вимогам діючих стандартів </w:t>
      </w:r>
      <w:r w:rsidR="00260431" w:rsidRPr="00F71B2E">
        <w:rPr>
          <w:color w:val="000000"/>
          <w:lang w:eastAsia="ar-SA"/>
        </w:rPr>
        <w:t>щодо якісних, технічних та інших характеристик.</w:t>
      </w:r>
    </w:p>
    <w:p w14:paraId="688F917E" w14:textId="77777777" w:rsidR="006506E2" w:rsidRPr="00F71B2E" w:rsidRDefault="006506E2" w:rsidP="0003442E">
      <w:pPr>
        <w:widowControl w:val="0"/>
        <w:tabs>
          <w:tab w:val="left" w:pos="567"/>
        </w:tabs>
        <w:autoSpaceDE w:val="0"/>
        <w:autoSpaceDN w:val="0"/>
        <w:adjustRightInd w:val="0"/>
        <w:ind w:firstLine="567"/>
        <w:jc w:val="both"/>
        <w:rPr>
          <w:color w:val="000000"/>
          <w:lang w:eastAsia="ar-SA"/>
        </w:rPr>
      </w:pPr>
      <w:r w:rsidRPr="00F71B2E">
        <w:rPr>
          <w:color w:val="000000"/>
          <w:lang w:eastAsia="ar-SA"/>
        </w:rPr>
        <w:t>Показники якості:</w:t>
      </w:r>
    </w:p>
    <w:tbl>
      <w:tblPr>
        <w:tblW w:w="10059" w:type="dxa"/>
        <w:jc w:val="center"/>
        <w:tblLayout w:type="fixed"/>
        <w:tblLook w:val="0000" w:firstRow="0" w:lastRow="0" w:firstColumn="0" w:lastColumn="0" w:noHBand="0" w:noVBand="0"/>
      </w:tblPr>
      <w:tblGrid>
        <w:gridCol w:w="494"/>
        <w:gridCol w:w="2693"/>
        <w:gridCol w:w="1276"/>
        <w:gridCol w:w="2278"/>
        <w:gridCol w:w="1711"/>
        <w:gridCol w:w="1607"/>
      </w:tblGrid>
      <w:tr w:rsidR="00F64E69" w:rsidRPr="00F71B2E" w14:paraId="75264524" w14:textId="77777777" w:rsidTr="00972F90">
        <w:trPr>
          <w:cantSplit/>
          <w:trHeight w:val="796"/>
          <w:tblHeader/>
          <w:jc w:val="center"/>
        </w:trPr>
        <w:tc>
          <w:tcPr>
            <w:tcW w:w="494" w:type="dxa"/>
            <w:tcBorders>
              <w:top w:val="single" w:sz="4" w:space="0" w:color="000000"/>
              <w:left w:val="single" w:sz="4" w:space="0" w:color="000000"/>
              <w:bottom w:val="single" w:sz="4" w:space="0" w:color="000000"/>
            </w:tcBorders>
            <w:vAlign w:val="center"/>
          </w:tcPr>
          <w:p w14:paraId="66CD72E0" w14:textId="77777777" w:rsidR="00F64E69" w:rsidRPr="00F71B2E" w:rsidRDefault="00F64E69" w:rsidP="0003442E">
            <w:pPr>
              <w:jc w:val="center"/>
              <w:rPr>
                <w:b/>
                <w:color w:val="000000"/>
                <w:lang w:eastAsia="ru-RU"/>
              </w:rPr>
            </w:pPr>
            <w:r w:rsidRPr="00F71B2E">
              <w:rPr>
                <w:bCs/>
                <w:color w:val="000000"/>
                <w:lang w:eastAsia="ru-RU"/>
              </w:rPr>
              <w:t>№</w:t>
            </w:r>
          </w:p>
        </w:tc>
        <w:tc>
          <w:tcPr>
            <w:tcW w:w="2693" w:type="dxa"/>
            <w:tcBorders>
              <w:top w:val="single" w:sz="4" w:space="0" w:color="000000"/>
              <w:left w:val="single" w:sz="4" w:space="0" w:color="000000"/>
              <w:bottom w:val="single" w:sz="4" w:space="0" w:color="000000"/>
            </w:tcBorders>
            <w:vAlign w:val="center"/>
          </w:tcPr>
          <w:p w14:paraId="72BCEEFD" w14:textId="77777777" w:rsidR="00F64E69" w:rsidRPr="00F71B2E" w:rsidRDefault="00F64E69" w:rsidP="0003442E">
            <w:pPr>
              <w:jc w:val="center"/>
              <w:rPr>
                <w:bCs/>
                <w:color w:val="000000"/>
                <w:lang w:eastAsia="ru-RU"/>
              </w:rPr>
            </w:pPr>
            <w:r w:rsidRPr="00F71B2E">
              <w:rPr>
                <w:bCs/>
                <w:color w:val="000000"/>
                <w:lang w:eastAsia="ru-RU"/>
              </w:rPr>
              <w:t>Найменування</w:t>
            </w:r>
          </w:p>
        </w:tc>
        <w:tc>
          <w:tcPr>
            <w:tcW w:w="1276" w:type="dxa"/>
            <w:tcBorders>
              <w:top w:val="single" w:sz="4" w:space="0" w:color="000000"/>
              <w:left w:val="single" w:sz="4" w:space="0" w:color="000000"/>
              <w:bottom w:val="single" w:sz="4" w:space="0" w:color="000000"/>
              <w:right w:val="single" w:sz="4" w:space="0" w:color="000000"/>
            </w:tcBorders>
            <w:vAlign w:val="center"/>
          </w:tcPr>
          <w:p w14:paraId="5529442A" w14:textId="77777777" w:rsidR="00F64E69" w:rsidRPr="00F71B2E" w:rsidRDefault="00F64E69" w:rsidP="0003442E">
            <w:pPr>
              <w:jc w:val="center"/>
              <w:rPr>
                <w:b/>
                <w:color w:val="000000"/>
                <w:lang w:eastAsia="ru-RU"/>
              </w:rPr>
            </w:pPr>
            <w:r w:rsidRPr="00F71B2E">
              <w:rPr>
                <w:bCs/>
                <w:color w:val="000000"/>
                <w:lang w:eastAsia="ru-RU"/>
              </w:rPr>
              <w:t>Фракція,</w:t>
            </w:r>
            <w:r w:rsidR="00A166D3" w:rsidRPr="00F71B2E">
              <w:rPr>
                <w:b/>
                <w:color w:val="000000"/>
                <w:lang w:eastAsia="ru-RU"/>
              </w:rPr>
              <w:t xml:space="preserve"> </w:t>
            </w:r>
            <w:r w:rsidRPr="00F71B2E">
              <w:rPr>
                <w:bCs/>
                <w:color w:val="000000"/>
                <w:lang w:eastAsia="ru-RU"/>
              </w:rPr>
              <w:t>мм</w:t>
            </w:r>
          </w:p>
        </w:tc>
        <w:tc>
          <w:tcPr>
            <w:tcW w:w="2278" w:type="dxa"/>
            <w:tcBorders>
              <w:top w:val="single" w:sz="4" w:space="0" w:color="000000"/>
              <w:left w:val="single" w:sz="4" w:space="0" w:color="000000"/>
              <w:bottom w:val="single" w:sz="4" w:space="0" w:color="000000"/>
            </w:tcBorders>
            <w:vAlign w:val="center"/>
          </w:tcPr>
          <w:p w14:paraId="2B28DA99" w14:textId="77777777" w:rsidR="00F64E69" w:rsidRPr="00F71B2E" w:rsidRDefault="00F64E69" w:rsidP="0003442E">
            <w:pPr>
              <w:jc w:val="center"/>
              <w:rPr>
                <w:b/>
                <w:color w:val="000000"/>
                <w:lang w:eastAsia="ru-RU"/>
              </w:rPr>
            </w:pPr>
            <w:r w:rsidRPr="00F71B2E">
              <w:rPr>
                <w:lang w:eastAsia="ru-RU"/>
              </w:rPr>
              <w:t xml:space="preserve">Зольність на сухий стан палива </w:t>
            </w:r>
            <w:proofErr w:type="spellStart"/>
            <w:r w:rsidRPr="00F71B2E">
              <w:rPr>
                <w:bCs/>
                <w:spacing w:val="4"/>
                <w:lang w:eastAsia="ru-RU"/>
              </w:rPr>
              <w:t>A</w:t>
            </w:r>
            <w:r w:rsidRPr="00F71B2E">
              <w:rPr>
                <w:bCs/>
                <w:spacing w:val="4"/>
                <w:vertAlign w:val="superscript"/>
                <w:lang w:eastAsia="ru-RU"/>
              </w:rPr>
              <w:t>d</w:t>
            </w:r>
            <w:proofErr w:type="spellEnd"/>
            <w:r w:rsidRPr="00F71B2E">
              <w:rPr>
                <w:lang w:eastAsia="ru-RU"/>
              </w:rPr>
              <w:t xml:space="preserve">, %,  </w:t>
            </w:r>
            <w:r w:rsidR="00345B29" w:rsidRPr="00F71B2E">
              <w:rPr>
                <w:lang w:eastAsia="ru-RU"/>
              </w:rPr>
              <w:t xml:space="preserve">                     </w:t>
            </w:r>
            <w:r w:rsidRPr="00F71B2E">
              <w:rPr>
                <w:lang w:eastAsia="ru-RU"/>
              </w:rPr>
              <w:t xml:space="preserve"> не більше ніж</w:t>
            </w:r>
          </w:p>
        </w:tc>
        <w:tc>
          <w:tcPr>
            <w:tcW w:w="1711" w:type="dxa"/>
            <w:tcBorders>
              <w:top w:val="single" w:sz="4" w:space="0" w:color="000000"/>
              <w:left w:val="single" w:sz="4" w:space="0" w:color="000000"/>
              <w:bottom w:val="single" w:sz="4" w:space="0" w:color="000000"/>
            </w:tcBorders>
            <w:vAlign w:val="center"/>
          </w:tcPr>
          <w:p w14:paraId="5956E32B" w14:textId="77777777" w:rsidR="00F64E69" w:rsidRPr="00F71B2E" w:rsidRDefault="00F64E69" w:rsidP="0003442E">
            <w:pPr>
              <w:jc w:val="center"/>
              <w:rPr>
                <w:b/>
                <w:color w:val="000000"/>
                <w:lang w:eastAsia="ru-RU"/>
              </w:rPr>
            </w:pPr>
            <w:r w:rsidRPr="00F71B2E">
              <w:rPr>
                <w:lang w:eastAsia="ru-RU"/>
              </w:rPr>
              <w:t xml:space="preserve">Загальна волога на робочий стан палива </w:t>
            </w:r>
            <w:proofErr w:type="spellStart"/>
            <w:r w:rsidRPr="00F71B2E">
              <w:rPr>
                <w:bCs/>
                <w:spacing w:val="4"/>
                <w:lang w:eastAsia="ru-RU"/>
              </w:rPr>
              <w:t>W</w:t>
            </w:r>
            <w:r w:rsidRPr="00F71B2E">
              <w:rPr>
                <w:bCs/>
                <w:spacing w:val="4"/>
                <w:vertAlign w:val="subscript"/>
                <w:lang w:eastAsia="ru-RU"/>
              </w:rPr>
              <w:t>t</w:t>
            </w:r>
            <w:r w:rsidRPr="00F71B2E">
              <w:rPr>
                <w:bCs/>
                <w:spacing w:val="4"/>
                <w:vertAlign w:val="superscript"/>
                <w:lang w:eastAsia="ru-RU"/>
              </w:rPr>
              <w:t>r</w:t>
            </w:r>
            <w:proofErr w:type="spellEnd"/>
            <w:r w:rsidRPr="00F71B2E">
              <w:rPr>
                <w:lang w:eastAsia="ru-RU"/>
              </w:rPr>
              <w:t xml:space="preserve"> , %, не більше ніж</w:t>
            </w:r>
          </w:p>
        </w:tc>
        <w:tc>
          <w:tcPr>
            <w:tcW w:w="1607" w:type="dxa"/>
            <w:tcBorders>
              <w:top w:val="single" w:sz="4" w:space="0" w:color="000000"/>
              <w:left w:val="single" w:sz="4" w:space="0" w:color="000000"/>
              <w:bottom w:val="single" w:sz="4" w:space="0" w:color="000000"/>
              <w:right w:val="single" w:sz="4" w:space="0" w:color="000000"/>
            </w:tcBorders>
            <w:vAlign w:val="center"/>
          </w:tcPr>
          <w:p w14:paraId="7555BC50" w14:textId="77777777" w:rsidR="00F64E69" w:rsidRPr="00F71B2E" w:rsidRDefault="00F64E69" w:rsidP="0003442E">
            <w:pPr>
              <w:jc w:val="center"/>
              <w:rPr>
                <w:color w:val="000000"/>
                <w:lang w:eastAsia="ru-RU"/>
              </w:rPr>
            </w:pPr>
            <w:r w:rsidRPr="00F71B2E">
              <w:rPr>
                <w:color w:val="000000"/>
                <w:lang w:eastAsia="ru-RU"/>
              </w:rPr>
              <w:t xml:space="preserve">Вихід летких речовин, %, </w:t>
            </w:r>
          </w:p>
        </w:tc>
      </w:tr>
      <w:tr w:rsidR="00F64E69" w:rsidRPr="00F71B2E" w14:paraId="74B84831" w14:textId="77777777" w:rsidTr="00345B29">
        <w:trPr>
          <w:cantSplit/>
          <w:trHeight w:val="152"/>
          <w:jc w:val="center"/>
        </w:trPr>
        <w:tc>
          <w:tcPr>
            <w:tcW w:w="494" w:type="dxa"/>
            <w:tcBorders>
              <w:top w:val="single" w:sz="4" w:space="0" w:color="000000"/>
              <w:left w:val="single" w:sz="4" w:space="0" w:color="000000"/>
              <w:bottom w:val="single" w:sz="4" w:space="0" w:color="000000"/>
            </w:tcBorders>
            <w:vAlign w:val="center"/>
          </w:tcPr>
          <w:p w14:paraId="58376E7D" w14:textId="77777777" w:rsidR="00F64E69" w:rsidRPr="00F71B2E" w:rsidRDefault="00AC49F7" w:rsidP="00F71B2E">
            <w:pPr>
              <w:spacing w:after="120"/>
              <w:jc w:val="center"/>
              <w:rPr>
                <w:bCs/>
                <w:color w:val="000000"/>
                <w:lang w:eastAsia="ru-RU"/>
              </w:rPr>
            </w:pPr>
            <w:r w:rsidRPr="00F71B2E">
              <w:rPr>
                <w:bCs/>
                <w:color w:val="000000"/>
                <w:lang w:eastAsia="ru-RU"/>
              </w:rPr>
              <w:t>1</w:t>
            </w:r>
          </w:p>
        </w:tc>
        <w:tc>
          <w:tcPr>
            <w:tcW w:w="2693" w:type="dxa"/>
            <w:tcBorders>
              <w:top w:val="single" w:sz="4" w:space="0" w:color="000000"/>
              <w:left w:val="single" w:sz="4" w:space="0" w:color="000000"/>
              <w:bottom w:val="single" w:sz="4" w:space="0" w:color="000000"/>
            </w:tcBorders>
            <w:vAlign w:val="center"/>
          </w:tcPr>
          <w:p w14:paraId="6196875A" w14:textId="6361B9D5" w:rsidR="00F64E69" w:rsidRPr="00F7690A" w:rsidRDefault="00F71B2E" w:rsidP="00F7690A">
            <w:pPr>
              <w:spacing w:after="120"/>
              <w:rPr>
                <w:color w:val="000000"/>
                <w:lang w:val="ru-RU" w:eastAsia="ru-RU"/>
              </w:rPr>
            </w:pPr>
            <w:r>
              <w:rPr>
                <w:color w:val="000000"/>
                <w:lang w:eastAsia="ru-RU"/>
              </w:rPr>
              <w:t>В</w:t>
            </w:r>
            <w:r w:rsidRPr="00F71B2E">
              <w:rPr>
                <w:color w:val="000000"/>
                <w:lang w:eastAsia="ru-RU"/>
              </w:rPr>
              <w:t xml:space="preserve">угілля </w:t>
            </w:r>
            <w:r>
              <w:rPr>
                <w:color w:val="000000"/>
                <w:lang w:eastAsia="ru-RU"/>
              </w:rPr>
              <w:t>к</w:t>
            </w:r>
            <w:r w:rsidR="00F64E69" w:rsidRPr="00F71B2E">
              <w:rPr>
                <w:color w:val="000000"/>
                <w:lang w:eastAsia="ru-RU"/>
              </w:rPr>
              <w:t>ам</w:t>
            </w:r>
            <w:r>
              <w:rPr>
                <w:color w:val="000000"/>
                <w:lang w:eastAsia="ru-RU"/>
              </w:rPr>
              <w:t>’</w:t>
            </w:r>
            <w:r w:rsidR="00F64E69" w:rsidRPr="00F71B2E">
              <w:rPr>
                <w:color w:val="000000"/>
                <w:lang w:eastAsia="ru-RU"/>
              </w:rPr>
              <w:t>яне марки Г</w:t>
            </w:r>
            <w:r w:rsidR="00F7690A">
              <w:rPr>
                <w:color w:val="000000"/>
                <w:lang w:val="ru-RU" w:eastAsia="ru-RU"/>
              </w:rPr>
              <w:t xml:space="preserve"> (Г1)</w:t>
            </w:r>
          </w:p>
        </w:tc>
        <w:tc>
          <w:tcPr>
            <w:tcW w:w="1276" w:type="dxa"/>
            <w:tcBorders>
              <w:top w:val="single" w:sz="4" w:space="0" w:color="000000"/>
              <w:left w:val="single" w:sz="4" w:space="0" w:color="000000"/>
              <w:bottom w:val="single" w:sz="4" w:space="0" w:color="000000"/>
              <w:right w:val="single" w:sz="4" w:space="0" w:color="000000"/>
            </w:tcBorders>
            <w:vAlign w:val="center"/>
          </w:tcPr>
          <w:p w14:paraId="66D36EA5" w14:textId="025F675F" w:rsidR="00F64E69" w:rsidRPr="00F7690A" w:rsidRDefault="00F64E69" w:rsidP="00F7690A">
            <w:pPr>
              <w:spacing w:after="120"/>
              <w:jc w:val="center"/>
              <w:rPr>
                <w:color w:val="000000"/>
                <w:lang w:val="ru-RU" w:eastAsia="ru-RU"/>
              </w:rPr>
            </w:pPr>
            <w:r w:rsidRPr="00F71B2E">
              <w:rPr>
                <w:color w:val="000000"/>
                <w:lang w:eastAsia="ru-RU"/>
              </w:rPr>
              <w:t>13-</w:t>
            </w:r>
            <w:r w:rsidR="00F7690A">
              <w:rPr>
                <w:color w:val="000000"/>
                <w:lang w:val="ru-RU" w:eastAsia="ru-RU"/>
              </w:rPr>
              <w:t>25</w:t>
            </w:r>
          </w:p>
        </w:tc>
        <w:tc>
          <w:tcPr>
            <w:tcW w:w="2278" w:type="dxa"/>
            <w:tcBorders>
              <w:top w:val="single" w:sz="4" w:space="0" w:color="000000"/>
              <w:left w:val="single" w:sz="4" w:space="0" w:color="000000"/>
              <w:bottom w:val="single" w:sz="4" w:space="0" w:color="000000"/>
            </w:tcBorders>
            <w:vAlign w:val="center"/>
          </w:tcPr>
          <w:p w14:paraId="58489FCF" w14:textId="1CD1A09B" w:rsidR="00F64E69" w:rsidRPr="00F7690A" w:rsidRDefault="00F7690A" w:rsidP="00F71B2E">
            <w:pPr>
              <w:spacing w:after="120"/>
              <w:jc w:val="center"/>
              <w:rPr>
                <w:color w:val="000000"/>
                <w:lang w:val="ru-RU" w:eastAsia="ru-RU"/>
              </w:rPr>
            </w:pPr>
            <w:r>
              <w:rPr>
                <w:color w:val="000000"/>
                <w:lang w:val="ru-RU" w:eastAsia="ru-RU"/>
              </w:rPr>
              <w:t>13</w:t>
            </w:r>
          </w:p>
        </w:tc>
        <w:tc>
          <w:tcPr>
            <w:tcW w:w="1711" w:type="dxa"/>
            <w:tcBorders>
              <w:top w:val="single" w:sz="4" w:space="0" w:color="000000"/>
              <w:left w:val="single" w:sz="4" w:space="0" w:color="000000"/>
              <w:bottom w:val="single" w:sz="4" w:space="0" w:color="000000"/>
            </w:tcBorders>
            <w:vAlign w:val="center"/>
          </w:tcPr>
          <w:p w14:paraId="7527A94E" w14:textId="77777777" w:rsidR="00F64E69" w:rsidRPr="00F71B2E" w:rsidRDefault="00F64E69" w:rsidP="00F71B2E">
            <w:pPr>
              <w:spacing w:after="120"/>
              <w:jc w:val="center"/>
              <w:rPr>
                <w:color w:val="000000"/>
                <w:lang w:eastAsia="ru-RU"/>
              </w:rPr>
            </w:pPr>
            <w:r w:rsidRPr="00F71B2E">
              <w:rPr>
                <w:color w:val="000000"/>
                <w:lang w:eastAsia="ru-RU"/>
              </w:rPr>
              <w:t>12</w:t>
            </w:r>
          </w:p>
        </w:tc>
        <w:tc>
          <w:tcPr>
            <w:tcW w:w="1607" w:type="dxa"/>
            <w:tcBorders>
              <w:top w:val="single" w:sz="4" w:space="0" w:color="000000"/>
              <w:left w:val="single" w:sz="4" w:space="0" w:color="000000"/>
              <w:bottom w:val="single" w:sz="4" w:space="0" w:color="000000"/>
              <w:right w:val="single" w:sz="4" w:space="0" w:color="000000"/>
            </w:tcBorders>
            <w:vAlign w:val="center"/>
          </w:tcPr>
          <w:p w14:paraId="0D96FEC3" w14:textId="77777777" w:rsidR="00F64E69" w:rsidRPr="00F71B2E" w:rsidRDefault="00AC49F7" w:rsidP="00F71B2E">
            <w:pPr>
              <w:spacing w:after="120"/>
              <w:jc w:val="center"/>
              <w:rPr>
                <w:color w:val="000000"/>
                <w:lang w:eastAsia="ru-RU"/>
              </w:rPr>
            </w:pPr>
            <w:r w:rsidRPr="00F71B2E">
              <w:rPr>
                <w:color w:val="000000"/>
                <w:lang w:eastAsia="ru-RU"/>
              </w:rPr>
              <w:t>від 33 до 38</w:t>
            </w:r>
          </w:p>
        </w:tc>
      </w:tr>
    </w:tbl>
    <w:p w14:paraId="5CB67955" w14:textId="77777777" w:rsidR="00C86174" w:rsidRPr="00F71B2E" w:rsidRDefault="0065513D" w:rsidP="00F71B2E">
      <w:pPr>
        <w:spacing w:after="120"/>
        <w:jc w:val="both"/>
      </w:pPr>
      <w:r w:rsidRPr="00F71B2E">
        <w:t>Поставка та розвантажування здійснюється за адресою Замовника силами Постачальника.</w:t>
      </w:r>
    </w:p>
    <w:tbl>
      <w:tblPr>
        <w:tblW w:w="10032" w:type="dxa"/>
        <w:jc w:val="center"/>
        <w:tblLayout w:type="fixed"/>
        <w:tblLook w:val="0000" w:firstRow="0" w:lastRow="0" w:firstColumn="0" w:lastColumn="0" w:noHBand="0" w:noVBand="0"/>
      </w:tblPr>
      <w:tblGrid>
        <w:gridCol w:w="481"/>
        <w:gridCol w:w="3058"/>
        <w:gridCol w:w="3827"/>
        <w:gridCol w:w="1478"/>
        <w:gridCol w:w="1188"/>
      </w:tblGrid>
      <w:tr w:rsidR="003B328C" w:rsidRPr="00F71B2E" w14:paraId="14C1106A" w14:textId="77777777" w:rsidTr="0003442E">
        <w:trPr>
          <w:trHeight w:val="436"/>
          <w:jc w:val="center"/>
        </w:trPr>
        <w:tc>
          <w:tcPr>
            <w:tcW w:w="481" w:type="dxa"/>
            <w:tcBorders>
              <w:top w:val="single" w:sz="4" w:space="0" w:color="000000"/>
              <w:left w:val="single" w:sz="4" w:space="0" w:color="000000"/>
              <w:bottom w:val="single" w:sz="4" w:space="0" w:color="auto"/>
            </w:tcBorders>
            <w:vAlign w:val="center"/>
          </w:tcPr>
          <w:p w14:paraId="5F59A3B2" w14:textId="77777777" w:rsidR="003B328C" w:rsidRPr="00F71B2E" w:rsidRDefault="003B328C" w:rsidP="00F71B2E">
            <w:pPr>
              <w:spacing w:after="120"/>
              <w:rPr>
                <w:b/>
                <w:color w:val="000000"/>
              </w:rPr>
            </w:pPr>
            <w:r w:rsidRPr="00F71B2E">
              <w:rPr>
                <w:color w:val="000000"/>
              </w:rPr>
              <w:t>№</w:t>
            </w:r>
          </w:p>
        </w:tc>
        <w:tc>
          <w:tcPr>
            <w:tcW w:w="3058" w:type="dxa"/>
            <w:tcBorders>
              <w:top w:val="single" w:sz="4" w:space="0" w:color="000000"/>
              <w:left w:val="single" w:sz="4" w:space="0" w:color="000000"/>
              <w:bottom w:val="single" w:sz="4" w:space="0" w:color="auto"/>
            </w:tcBorders>
            <w:vAlign w:val="center"/>
          </w:tcPr>
          <w:p w14:paraId="0CE9BA22" w14:textId="77777777" w:rsidR="003B328C" w:rsidRPr="00F71B2E" w:rsidRDefault="003B328C" w:rsidP="0003442E">
            <w:pPr>
              <w:spacing w:after="120"/>
              <w:jc w:val="center"/>
              <w:rPr>
                <w:b/>
                <w:color w:val="000000"/>
              </w:rPr>
            </w:pPr>
            <w:r w:rsidRPr="00F71B2E">
              <w:rPr>
                <w:color w:val="000000"/>
              </w:rPr>
              <w:t>Найменування</w:t>
            </w:r>
          </w:p>
        </w:tc>
        <w:tc>
          <w:tcPr>
            <w:tcW w:w="3827" w:type="dxa"/>
            <w:tcBorders>
              <w:top w:val="single" w:sz="4" w:space="0" w:color="000000"/>
              <w:left w:val="single" w:sz="4" w:space="0" w:color="000000"/>
              <w:bottom w:val="single" w:sz="4" w:space="0" w:color="000000"/>
            </w:tcBorders>
            <w:vAlign w:val="center"/>
          </w:tcPr>
          <w:p w14:paraId="7D96755A" w14:textId="77777777" w:rsidR="003B328C" w:rsidRPr="00F71B2E" w:rsidRDefault="003B328C" w:rsidP="0003442E">
            <w:pPr>
              <w:spacing w:after="120"/>
              <w:jc w:val="center"/>
              <w:rPr>
                <w:color w:val="000000"/>
              </w:rPr>
            </w:pPr>
            <w:r w:rsidRPr="00F71B2E">
              <w:rPr>
                <w:color w:val="000000"/>
              </w:rPr>
              <w:t>Місце поставки</w:t>
            </w:r>
          </w:p>
        </w:tc>
        <w:tc>
          <w:tcPr>
            <w:tcW w:w="1478" w:type="dxa"/>
            <w:tcBorders>
              <w:top w:val="single" w:sz="4" w:space="0" w:color="000000"/>
              <w:left w:val="single" w:sz="4" w:space="0" w:color="000000"/>
              <w:bottom w:val="single" w:sz="4" w:space="0" w:color="000000"/>
            </w:tcBorders>
            <w:vAlign w:val="center"/>
          </w:tcPr>
          <w:p w14:paraId="1020F715" w14:textId="77777777" w:rsidR="003B328C" w:rsidRPr="00F71B2E" w:rsidRDefault="003B328C" w:rsidP="0003442E">
            <w:pPr>
              <w:spacing w:after="120"/>
              <w:jc w:val="center"/>
              <w:rPr>
                <w:b/>
                <w:color w:val="000000"/>
              </w:rPr>
            </w:pPr>
            <w:r w:rsidRPr="00F71B2E">
              <w:rPr>
                <w:color w:val="000000"/>
              </w:rPr>
              <w:t>Одиниця виміру</w:t>
            </w:r>
          </w:p>
        </w:tc>
        <w:tc>
          <w:tcPr>
            <w:tcW w:w="1188" w:type="dxa"/>
            <w:tcBorders>
              <w:top w:val="single" w:sz="4" w:space="0" w:color="000000"/>
              <w:left w:val="single" w:sz="4" w:space="0" w:color="000000"/>
              <w:bottom w:val="single" w:sz="4" w:space="0" w:color="000000"/>
              <w:right w:val="single" w:sz="4" w:space="0" w:color="auto"/>
            </w:tcBorders>
            <w:vAlign w:val="center"/>
          </w:tcPr>
          <w:p w14:paraId="5BB39DFE" w14:textId="77777777" w:rsidR="003B328C" w:rsidRPr="00F71B2E" w:rsidRDefault="003B328C" w:rsidP="0003442E">
            <w:pPr>
              <w:spacing w:after="120"/>
              <w:jc w:val="center"/>
              <w:rPr>
                <w:b/>
                <w:color w:val="000000"/>
              </w:rPr>
            </w:pPr>
            <w:r w:rsidRPr="00F71B2E">
              <w:rPr>
                <w:color w:val="000000"/>
              </w:rPr>
              <w:t>Кількість</w:t>
            </w:r>
          </w:p>
        </w:tc>
      </w:tr>
      <w:tr w:rsidR="00D41DA0" w:rsidRPr="00F71B2E" w14:paraId="4D3B3C83" w14:textId="77777777" w:rsidTr="0003442E">
        <w:trPr>
          <w:trHeight w:val="178"/>
          <w:jc w:val="center"/>
        </w:trPr>
        <w:tc>
          <w:tcPr>
            <w:tcW w:w="481" w:type="dxa"/>
            <w:tcBorders>
              <w:top w:val="single" w:sz="4" w:space="0" w:color="000000"/>
              <w:left w:val="single" w:sz="4" w:space="0" w:color="000000"/>
              <w:bottom w:val="single" w:sz="4" w:space="0" w:color="000000"/>
            </w:tcBorders>
            <w:vAlign w:val="center"/>
          </w:tcPr>
          <w:p w14:paraId="4D9F5EA4" w14:textId="77777777" w:rsidR="00D41DA0" w:rsidRPr="00CB6E14" w:rsidRDefault="00D41DA0" w:rsidP="0003442E">
            <w:pPr>
              <w:rPr>
                <w:color w:val="000000"/>
              </w:rPr>
            </w:pPr>
            <w:r w:rsidRPr="00CB6E14">
              <w:rPr>
                <w:color w:val="000000"/>
              </w:rPr>
              <w:t>1</w:t>
            </w:r>
          </w:p>
        </w:tc>
        <w:tc>
          <w:tcPr>
            <w:tcW w:w="3058" w:type="dxa"/>
            <w:vMerge w:val="restart"/>
            <w:tcBorders>
              <w:top w:val="single" w:sz="4" w:space="0" w:color="000000"/>
              <w:left w:val="single" w:sz="4" w:space="0" w:color="000000"/>
            </w:tcBorders>
            <w:vAlign w:val="center"/>
          </w:tcPr>
          <w:p w14:paraId="75FE92E4" w14:textId="0DD00A69" w:rsidR="00D41DA0" w:rsidRPr="00CB6E14" w:rsidRDefault="00D41DA0" w:rsidP="00F7690A">
            <w:pPr>
              <w:jc w:val="center"/>
              <w:rPr>
                <w:color w:val="000000"/>
              </w:rPr>
            </w:pPr>
            <w:r w:rsidRPr="00CB6E14">
              <w:rPr>
                <w:color w:val="000000"/>
              </w:rPr>
              <w:t>Кам’яне вугілля марки Г</w:t>
            </w:r>
            <w:r w:rsidR="00F7690A">
              <w:rPr>
                <w:color w:val="000000"/>
                <w:lang w:val="ru-RU"/>
              </w:rPr>
              <w:t xml:space="preserve"> (Г1)</w:t>
            </w:r>
            <w:r w:rsidRPr="00CB6E14">
              <w:rPr>
                <w:color w:val="000000"/>
              </w:rPr>
              <w:t xml:space="preserve"> </w:t>
            </w:r>
            <w:r w:rsidRPr="00F7690A">
              <w:rPr>
                <w:color w:val="000000"/>
              </w:rPr>
              <w:t>(13-</w:t>
            </w:r>
            <w:r w:rsidR="00F7690A" w:rsidRPr="00F7690A">
              <w:rPr>
                <w:color w:val="000000"/>
                <w:lang w:val="ru-RU"/>
              </w:rPr>
              <w:t>25</w:t>
            </w:r>
            <w:r w:rsidRPr="00F7690A">
              <w:rPr>
                <w:color w:val="000000"/>
              </w:rPr>
              <w:t>)</w:t>
            </w:r>
          </w:p>
        </w:tc>
        <w:tc>
          <w:tcPr>
            <w:tcW w:w="3827" w:type="dxa"/>
            <w:tcBorders>
              <w:top w:val="single" w:sz="4" w:space="0" w:color="000000"/>
              <w:left w:val="single" w:sz="4" w:space="0" w:color="000000"/>
              <w:bottom w:val="single" w:sz="4" w:space="0" w:color="000000"/>
            </w:tcBorders>
            <w:vAlign w:val="center"/>
          </w:tcPr>
          <w:p w14:paraId="42562273" w14:textId="52D767CC" w:rsidR="00D41DA0" w:rsidRPr="00CB6E14" w:rsidRDefault="005F78B9" w:rsidP="0003442E">
            <w:pPr>
              <w:rPr>
                <w:color w:val="000000"/>
              </w:rPr>
            </w:pPr>
            <w:r w:rsidRPr="00CB6E14">
              <w:rPr>
                <w:color w:val="000000"/>
              </w:rPr>
              <w:t>Херсонська область, Херсонський район, смт Білозерка, вул. Херсонська, 148</w:t>
            </w:r>
          </w:p>
        </w:tc>
        <w:tc>
          <w:tcPr>
            <w:tcW w:w="1478" w:type="dxa"/>
            <w:tcBorders>
              <w:top w:val="single" w:sz="4" w:space="0" w:color="000000"/>
              <w:left w:val="single" w:sz="4" w:space="0" w:color="000000"/>
              <w:bottom w:val="single" w:sz="4" w:space="0" w:color="000000"/>
            </w:tcBorders>
            <w:vAlign w:val="center"/>
          </w:tcPr>
          <w:p w14:paraId="7D7465B9" w14:textId="77777777" w:rsidR="00D41DA0" w:rsidRPr="00CB6E14" w:rsidRDefault="00D41DA0" w:rsidP="0003442E">
            <w:pPr>
              <w:jc w:val="center"/>
              <w:rPr>
                <w:color w:val="000000"/>
              </w:rPr>
            </w:pPr>
            <w:r w:rsidRPr="00CB6E14">
              <w:rPr>
                <w:color w:val="000000"/>
              </w:rPr>
              <w:t>тонна</w:t>
            </w:r>
          </w:p>
        </w:tc>
        <w:tc>
          <w:tcPr>
            <w:tcW w:w="1188" w:type="dxa"/>
            <w:tcBorders>
              <w:top w:val="single" w:sz="4" w:space="0" w:color="000000"/>
              <w:left w:val="single" w:sz="4" w:space="0" w:color="000000"/>
              <w:bottom w:val="single" w:sz="4" w:space="0" w:color="000000"/>
              <w:right w:val="single" w:sz="4" w:space="0" w:color="auto"/>
            </w:tcBorders>
            <w:vAlign w:val="center"/>
          </w:tcPr>
          <w:p w14:paraId="756F6323" w14:textId="7F573020" w:rsidR="00D41DA0" w:rsidRPr="00CB6E14" w:rsidRDefault="00CB6E14" w:rsidP="00027868">
            <w:pPr>
              <w:jc w:val="center"/>
            </w:pPr>
            <w:r w:rsidRPr="00CB6E14">
              <w:t>2</w:t>
            </w:r>
            <w:r w:rsidR="00027868">
              <w:t>7</w:t>
            </w:r>
          </w:p>
        </w:tc>
      </w:tr>
      <w:tr w:rsidR="00D41DA0" w:rsidRPr="00F71B2E" w14:paraId="37A22D1A" w14:textId="77777777" w:rsidTr="0003442E">
        <w:trPr>
          <w:trHeight w:val="168"/>
          <w:jc w:val="center"/>
        </w:trPr>
        <w:tc>
          <w:tcPr>
            <w:tcW w:w="481" w:type="dxa"/>
            <w:tcBorders>
              <w:top w:val="single" w:sz="4" w:space="0" w:color="000000"/>
              <w:left w:val="single" w:sz="4" w:space="0" w:color="000000"/>
            </w:tcBorders>
            <w:vAlign w:val="center"/>
          </w:tcPr>
          <w:p w14:paraId="748D3EBC" w14:textId="77777777" w:rsidR="00D41DA0" w:rsidRPr="00CB6E14" w:rsidRDefault="00D41DA0" w:rsidP="0003442E">
            <w:pPr>
              <w:rPr>
                <w:color w:val="000000"/>
              </w:rPr>
            </w:pPr>
            <w:r w:rsidRPr="00CB6E14">
              <w:rPr>
                <w:color w:val="000000"/>
              </w:rPr>
              <w:t>2</w:t>
            </w:r>
          </w:p>
        </w:tc>
        <w:tc>
          <w:tcPr>
            <w:tcW w:w="3058" w:type="dxa"/>
            <w:vMerge/>
            <w:tcBorders>
              <w:left w:val="single" w:sz="4" w:space="0" w:color="000000"/>
            </w:tcBorders>
            <w:vAlign w:val="center"/>
          </w:tcPr>
          <w:p w14:paraId="69ACA7A2" w14:textId="77777777" w:rsidR="00D41DA0" w:rsidRPr="00CB6E14" w:rsidRDefault="00D41DA0" w:rsidP="0003442E">
            <w:pPr>
              <w:jc w:val="center"/>
              <w:rPr>
                <w:color w:val="000000"/>
              </w:rPr>
            </w:pPr>
          </w:p>
        </w:tc>
        <w:tc>
          <w:tcPr>
            <w:tcW w:w="3827" w:type="dxa"/>
            <w:tcBorders>
              <w:top w:val="single" w:sz="4" w:space="0" w:color="000000"/>
              <w:left w:val="single" w:sz="4" w:space="0" w:color="000000"/>
              <w:bottom w:val="single" w:sz="4" w:space="0" w:color="auto"/>
            </w:tcBorders>
            <w:vAlign w:val="center"/>
          </w:tcPr>
          <w:p w14:paraId="1FA7DD14" w14:textId="4C284112" w:rsidR="00D41DA0" w:rsidRPr="00CB6E14" w:rsidRDefault="00716B60" w:rsidP="0003442E">
            <w:pPr>
              <w:rPr>
                <w:color w:val="000000"/>
              </w:rPr>
            </w:pPr>
            <w:r w:rsidRPr="00CB6E14">
              <w:rPr>
                <w:szCs w:val="28"/>
              </w:rPr>
              <w:t>Херсонська область, Херсонський район, Інгулецька зрошувальна система ПК 26+00, насосна станція 4 ІЗПР</w:t>
            </w:r>
            <w:r w:rsidR="00CB6E14" w:rsidRPr="00CB6E14">
              <w:rPr>
                <w:szCs w:val="28"/>
              </w:rPr>
              <w:t xml:space="preserve"> (</w:t>
            </w:r>
            <w:proofErr w:type="spellStart"/>
            <w:r w:rsidR="00CB6E14" w:rsidRPr="00CB6E14">
              <w:t>близь</w:t>
            </w:r>
            <w:proofErr w:type="spellEnd"/>
            <w:r w:rsidR="00CB6E14" w:rsidRPr="00CB6E14">
              <w:t xml:space="preserve"> с. </w:t>
            </w:r>
            <w:proofErr w:type="spellStart"/>
            <w:r w:rsidR="00CB6E14" w:rsidRPr="00CB6E14">
              <w:t>Надніпрянське</w:t>
            </w:r>
            <w:proofErr w:type="spellEnd"/>
            <w:r w:rsidR="00CB6E14" w:rsidRPr="00CB6E14">
              <w:t>)</w:t>
            </w:r>
          </w:p>
        </w:tc>
        <w:tc>
          <w:tcPr>
            <w:tcW w:w="1478" w:type="dxa"/>
            <w:tcBorders>
              <w:top w:val="single" w:sz="4" w:space="0" w:color="000000"/>
              <w:left w:val="single" w:sz="4" w:space="0" w:color="000000"/>
            </w:tcBorders>
            <w:vAlign w:val="center"/>
          </w:tcPr>
          <w:p w14:paraId="05D8F8F9" w14:textId="77777777" w:rsidR="00D41DA0" w:rsidRPr="00CB6E14" w:rsidRDefault="00D41DA0" w:rsidP="0003442E">
            <w:pPr>
              <w:jc w:val="center"/>
              <w:rPr>
                <w:color w:val="000000"/>
              </w:rPr>
            </w:pPr>
            <w:r w:rsidRPr="00CB6E14">
              <w:rPr>
                <w:color w:val="000000"/>
              </w:rPr>
              <w:t>тонна</w:t>
            </w:r>
          </w:p>
        </w:tc>
        <w:tc>
          <w:tcPr>
            <w:tcW w:w="1188" w:type="dxa"/>
            <w:tcBorders>
              <w:top w:val="single" w:sz="4" w:space="0" w:color="000000"/>
              <w:left w:val="single" w:sz="4" w:space="0" w:color="000000"/>
              <w:bottom w:val="single" w:sz="4" w:space="0" w:color="auto"/>
              <w:right w:val="single" w:sz="4" w:space="0" w:color="auto"/>
            </w:tcBorders>
            <w:vAlign w:val="center"/>
          </w:tcPr>
          <w:p w14:paraId="6FD41E7A" w14:textId="531D5849" w:rsidR="00D41DA0" w:rsidRPr="00CB6E14" w:rsidRDefault="00716B60" w:rsidP="00716B60">
            <w:pPr>
              <w:jc w:val="center"/>
            </w:pPr>
            <w:r w:rsidRPr="00CB6E14">
              <w:t>2</w:t>
            </w:r>
          </w:p>
        </w:tc>
      </w:tr>
      <w:tr w:rsidR="003B328C" w:rsidRPr="00F71B2E" w14:paraId="1248F4AC" w14:textId="77777777" w:rsidTr="0003442E">
        <w:trPr>
          <w:trHeight w:val="190"/>
          <w:jc w:val="center"/>
        </w:trPr>
        <w:tc>
          <w:tcPr>
            <w:tcW w:w="481" w:type="dxa"/>
            <w:tcBorders>
              <w:top w:val="single" w:sz="4" w:space="0" w:color="auto"/>
              <w:left w:val="single" w:sz="4" w:space="0" w:color="000000"/>
              <w:bottom w:val="single" w:sz="4" w:space="0" w:color="auto"/>
            </w:tcBorders>
            <w:vAlign w:val="center"/>
          </w:tcPr>
          <w:p w14:paraId="7F787642" w14:textId="77777777" w:rsidR="003B328C" w:rsidRPr="00F71B2E" w:rsidRDefault="003B328C" w:rsidP="00F71B2E">
            <w:pPr>
              <w:spacing w:after="120"/>
              <w:rPr>
                <w:i/>
                <w:color w:val="000000"/>
              </w:rPr>
            </w:pPr>
          </w:p>
        </w:tc>
        <w:tc>
          <w:tcPr>
            <w:tcW w:w="3058" w:type="dxa"/>
            <w:tcBorders>
              <w:top w:val="single" w:sz="4" w:space="0" w:color="auto"/>
              <w:left w:val="single" w:sz="4" w:space="0" w:color="000000"/>
              <w:bottom w:val="single" w:sz="4" w:space="0" w:color="auto"/>
            </w:tcBorders>
            <w:vAlign w:val="center"/>
          </w:tcPr>
          <w:p w14:paraId="4B5DC39A" w14:textId="77777777" w:rsidR="003B328C" w:rsidRPr="00F71B2E" w:rsidRDefault="003B328C" w:rsidP="0003442E">
            <w:pPr>
              <w:spacing w:after="120"/>
              <w:jc w:val="center"/>
              <w:rPr>
                <w:b/>
                <w:color w:val="000000"/>
              </w:rPr>
            </w:pPr>
            <w:r w:rsidRPr="00F71B2E">
              <w:rPr>
                <w:b/>
                <w:color w:val="000000"/>
              </w:rPr>
              <w:t>Загальна кількість</w:t>
            </w:r>
          </w:p>
        </w:tc>
        <w:tc>
          <w:tcPr>
            <w:tcW w:w="3827" w:type="dxa"/>
            <w:tcBorders>
              <w:top w:val="single" w:sz="4" w:space="0" w:color="auto"/>
              <w:left w:val="single" w:sz="4" w:space="0" w:color="000000"/>
              <w:bottom w:val="single" w:sz="4" w:space="0" w:color="auto"/>
            </w:tcBorders>
          </w:tcPr>
          <w:p w14:paraId="6725CE13" w14:textId="77777777" w:rsidR="003B328C" w:rsidRPr="00F71B2E" w:rsidRDefault="003B328C" w:rsidP="00F71B2E">
            <w:pPr>
              <w:spacing w:after="120"/>
              <w:rPr>
                <w:b/>
                <w:color w:val="000000"/>
              </w:rPr>
            </w:pPr>
          </w:p>
        </w:tc>
        <w:tc>
          <w:tcPr>
            <w:tcW w:w="1478" w:type="dxa"/>
            <w:tcBorders>
              <w:top w:val="single" w:sz="4" w:space="0" w:color="auto"/>
              <w:left w:val="single" w:sz="4" w:space="0" w:color="000000"/>
              <w:bottom w:val="single" w:sz="4" w:space="0" w:color="auto"/>
            </w:tcBorders>
          </w:tcPr>
          <w:p w14:paraId="305F94A8" w14:textId="77777777" w:rsidR="003B328C" w:rsidRPr="00F71B2E" w:rsidRDefault="003B328C" w:rsidP="0003442E">
            <w:pPr>
              <w:spacing w:after="120"/>
              <w:jc w:val="center"/>
              <w:rPr>
                <w:b/>
                <w:color w:val="000000"/>
              </w:rPr>
            </w:pPr>
          </w:p>
        </w:tc>
        <w:tc>
          <w:tcPr>
            <w:tcW w:w="1188" w:type="dxa"/>
            <w:tcBorders>
              <w:top w:val="single" w:sz="4" w:space="0" w:color="auto"/>
              <w:left w:val="single" w:sz="4" w:space="0" w:color="000000"/>
              <w:bottom w:val="single" w:sz="4" w:space="0" w:color="auto"/>
              <w:right w:val="single" w:sz="4" w:space="0" w:color="auto"/>
            </w:tcBorders>
            <w:vAlign w:val="center"/>
          </w:tcPr>
          <w:p w14:paraId="5DD6BE22" w14:textId="27D0C50F" w:rsidR="003B328C" w:rsidRPr="00716B60" w:rsidRDefault="003B328C" w:rsidP="0003442E">
            <w:pPr>
              <w:spacing w:after="120"/>
              <w:jc w:val="center"/>
              <w:rPr>
                <w:b/>
                <w:highlight w:val="yellow"/>
              </w:rPr>
            </w:pPr>
          </w:p>
        </w:tc>
      </w:tr>
    </w:tbl>
    <w:p w14:paraId="13DF278E" w14:textId="77777777" w:rsidR="00124D90" w:rsidRPr="00F71B2E" w:rsidRDefault="005D03C4" w:rsidP="0003442E">
      <w:pPr>
        <w:spacing w:before="120"/>
        <w:ind w:firstLine="567"/>
        <w:jc w:val="both"/>
      </w:pPr>
      <w:r w:rsidRPr="00F71B2E">
        <w:t>1.</w:t>
      </w:r>
      <w:r w:rsidR="00E37B17" w:rsidRPr="00F71B2E">
        <w:t>Умовами цієї закупівлі передбачається необхідність застосування заходів щодо безпеки та охорони довкілля, що визначені Законом України «Про охорону навколишнього природного середовища» та Законом України «Про відходи»</w:t>
      </w:r>
      <w:r w:rsidR="001102EB" w:rsidRPr="00F71B2E">
        <w:t>.</w:t>
      </w:r>
    </w:p>
    <w:p w14:paraId="72FD277C" w14:textId="77777777" w:rsidR="00DA3297" w:rsidRPr="00F71B2E" w:rsidRDefault="005D03C4" w:rsidP="0003442E">
      <w:pPr>
        <w:ind w:firstLine="567"/>
        <w:jc w:val="both"/>
        <w:rPr>
          <w:lang w:eastAsia="ru-RU"/>
        </w:rPr>
      </w:pPr>
      <w:r w:rsidRPr="00F71B2E">
        <w:rPr>
          <w:lang w:eastAsia="ru-RU"/>
        </w:rPr>
        <w:t>1.1.</w:t>
      </w:r>
      <w:r w:rsidR="00DA3297" w:rsidRPr="00F71B2E">
        <w:rPr>
          <w:lang w:eastAsia="ru-RU"/>
        </w:rPr>
        <w:t>Ціна пропозиції повинна враховувати вартість доставки до місця призначення автомобільним транспортом, вартість навантаження, зважування, зберігання, підвезення, розвантаження.</w:t>
      </w:r>
    </w:p>
    <w:p w14:paraId="74E0A306" w14:textId="14AB156E" w:rsidR="006F738F" w:rsidRPr="00F71B2E" w:rsidRDefault="005D03C4" w:rsidP="0003442E">
      <w:pPr>
        <w:ind w:firstLine="567"/>
        <w:jc w:val="both"/>
      </w:pPr>
      <w:r w:rsidRPr="00F71B2E">
        <w:t>1.2.</w:t>
      </w:r>
      <w:r w:rsidR="00DA3297" w:rsidRPr="00F71B2E">
        <w:t>Учасник зобов’язаний поставляти вугілля дрібними партіями протягом строку дії договору, поставка кожної окремої партії повинна здійснюватися впродовж 3 (трьох) днів з дати одержання від замовника письмової (або через e-</w:t>
      </w:r>
      <w:proofErr w:type="spellStart"/>
      <w:r w:rsidR="00DA3297" w:rsidRPr="00F71B2E">
        <w:t>mail</w:t>
      </w:r>
      <w:proofErr w:type="spellEnd"/>
      <w:r w:rsidR="00DA3297" w:rsidRPr="00F71B2E">
        <w:t xml:space="preserve">) заявки в асортименті та обсязі, зазначеному у заявці. Постачання вугілля повинно відбуватися у світлий час доби, зважування – в робочі дні з </w:t>
      </w:r>
      <w:r w:rsidR="00F8528A">
        <w:t>8</w:t>
      </w:r>
      <w:r w:rsidR="00DA3297" w:rsidRPr="00F71B2E">
        <w:t xml:space="preserve"> до 1</w:t>
      </w:r>
      <w:r w:rsidR="00F8528A">
        <w:t>5</w:t>
      </w:r>
      <w:r w:rsidR="00DA3297" w:rsidRPr="00F71B2E">
        <w:t xml:space="preserve"> годин</w:t>
      </w:r>
      <w:r w:rsidR="00F8528A">
        <w:t>и</w:t>
      </w:r>
      <w:r w:rsidR="00DA3297" w:rsidRPr="00F71B2E">
        <w:t xml:space="preserve"> в присутності представника замовника.</w:t>
      </w:r>
      <w:r w:rsidR="00D25395" w:rsidRPr="00F71B2E">
        <w:t xml:space="preserve"> </w:t>
      </w:r>
    </w:p>
    <w:p w14:paraId="68DB1B6F" w14:textId="77777777" w:rsidR="00DA3297" w:rsidRPr="00F71B2E" w:rsidRDefault="006F738F" w:rsidP="0003442E">
      <w:pPr>
        <w:ind w:firstLine="567"/>
        <w:jc w:val="both"/>
      </w:pPr>
      <w:r w:rsidRPr="00F71B2E">
        <w:t>1.3.</w:t>
      </w:r>
      <w:r w:rsidR="00DA3297" w:rsidRPr="00F71B2E">
        <w:t>Кожна партія вугілля, що поставляється, повинна супроводжуватися сертифікатом якості або протоколом випробування, або посвідченням про якість, або іншим документом, який підтверджує якість вугілля.</w:t>
      </w:r>
    </w:p>
    <w:p w14:paraId="38B84DB6" w14:textId="77777777" w:rsidR="009D611A" w:rsidRPr="00F71B2E" w:rsidRDefault="005D03C4" w:rsidP="0003442E">
      <w:pPr>
        <w:ind w:firstLine="567"/>
        <w:jc w:val="both"/>
        <w:rPr>
          <w:lang w:eastAsia="ar-SA"/>
        </w:rPr>
      </w:pPr>
      <w:r w:rsidRPr="00F71B2E">
        <w:rPr>
          <w:lang w:eastAsia="ar-SA"/>
        </w:rPr>
        <w:t>2.</w:t>
      </w:r>
      <w:r w:rsidR="009D611A" w:rsidRPr="00F71B2E">
        <w:rPr>
          <w:lang w:eastAsia="ar-SA"/>
        </w:rPr>
        <w:t>Для підтвердження відповідності запропонованого товару технічним, якісним, кількісним та іншим вимогам до предмета закупівлі повинні бути надані наступні документи:</w:t>
      </w:r>
    </w:p>
    <w:p w14:paraId="118A1789" w14:textId="77777777" w:rsidR="009D611A" w:rsidRPr="00F71B2E" w:rsidRDefault="005D03C4" w:rsidP="0003442E">
      <w:pPr>
        <w:ind w:firstLine="567"/>
        <w:jc w:val="both"/>
      </w:pPr>
      <w:r w:rsidRPr="00F71B2E">
        <w:rPr>
          <w:lang w:eastAsia="ar-SA"/>
        </w:rPr>
        <w:t>2</w:t>
      </w:r>
      <w:r w:rsidR="00FF522D" w:rsidRPr="00F71B2E">
        <w:rPr>
          <w:lang w:eastAsia="ar-SA"/>
        </w:rPr>
        <w:t>.1</w:t>
      </w:r>
      <w:r w:rsidR="00BB6B7A" w:rsidRPr="00F71B2E">
        <w:rPr>
          <w:lang w:eastAsia="ar-SA"/>
        </w:rPr>
        <w:t>.</w:t>
      </w:r>
      <w:r w:rsidR="009D611A" w:rsidRPr="00F71B2E">
        <w:rPr>
          <w:lang w:eastAsia="ar-SA"/>
        </w:rPr>
        <w:t xml:space="preserve">Довідка в довільній формі із зазначенням інформації стосовно запропонованого учасником товару, його кількості, технічних і якісних характеристик: зольність на сухий </w:t>
      </w:r>
      <w:r w:rsidR="009D611A" w:rsidRPr="00F71B2E">
        <w:rPr>
          <w:lang w:eastAsia="ar-SA"/>
        </w:rPr>
        <w:lastRenderedPageBreak/>
        <w:t xml:space="preserve">стан палива, загальна волога на робочий стан палива, нижча теплота згорання на робочий </w:t>
      </w:r>
      <w:r w:rsidR="009D611A" w:rsidRPr="00F71B2E">
        <w:t>стан палива, вихід летких речовин, загальна сірка на сухий стан палива, показники якості, що характеризують безпечність вугілля, включаючи посилання на відповідні нормативні документи, вимогам яких відповідає вугілля, що буде постачатись згідно умов даної закупівлі, а також інформацію про походження вугілля.</w:t>
      </w:r>
    </w:p>
    <w:p w14:paraId="79B5A321" w14:textId="77777777" w:rsidR="00B509FA" w:rsidRPr="00F71B2E" w:rsidRDefault="005D03C4" w:rsidP="0003442E">
      <w:pPr>
        <w:ind w:firstLine="567"/>
        <w:jc w:val="both"/>
      </w:pPr>
      <w:r w:rsidRPr="00F71B2E">
        <w:t>2</w:t>
      </w:r>
      <w:r w:rsidR="00B509FA" w:rsidRPr="00F71B2E">
        <w:t>.2.Інформаційний лист з поясненням</w:t>
      </w:r>
      <w:r w:rsidR="006F738F" w:rsidRPr="00F71B2E">
        <w:t>,</w:t>
      </w:r>
      <w:r w:rsidR="00B509FA" w:rsidRPr="00F71B2E">
        <w:t xml:space="preserve"> яким чином буде забезпечена учасником поставка визначених замовником в цьому тендері марок вугілля із зазначенням інформації стосовно  виробника(</w:t>
      </w:r>
      <w:proofErr w:type="spellStart"/>
      <w:r w:rsidR="00B509FA" w:rsidRPr="00F71B2E">
        <w:t>ів</w:t>
      </w:r>
      <w:proofErr w:type="spellEnd"/>
      <w:r w:rsidR="00B509FA" w:rsidRPr="00F71B2E">
        <w:t xml:space="preserve">) товару (вказати повне найменування, код ЄДРПОУ, адресу і телефон виробника) та постачальника(продавця) товару, якщо учасник для забезпечення потреб замовника буде закуповувати вугілля у будь-якого суб’єкта підприємницької діяльності (вказати найменування, код ЄДРПОУ, адресу і телефон такого суб’єкта господарювання). </w:t>
      </w:r>
    </w:p>
    <w:p w14:paraId="48402A50" w14:textId="77777777" w:rsidR="009D611A" w:rsidRPr="00F71B2E" w:rsidRDefault="005D03C4" w:rsidP="0003442E">
      <w:pPr>
        <w:ind w:firstLine="567"/>
        <w:jc w:val="both"/>
        <w:rPr>
          <w:lang w:eastAsia="ar-SA"/>
        </w:rPr>
      </w:pPr>
      <w:r w:rsidRPr="00F71B2E">
        <w:t>2</w:t>
      </w:r>
      <w:r w:rsidR="00B509FA" w:rsidRPr="00F71B2E">
        <w:t>.3</w:t>
      </w:r>
      <w:r w:rsidR="009D611A" w:rsidRPr="00F71B2E">
        <w:t>.Чинні сертифікати генетичних, технологічних та якісних характеристик, видані ТК-92 «Вугілля та продукти його перероблення» або ВП</w:t>
      </w:r>
      <w:r w:rsidR="009D611A" w:rsidRPr="00F71B2E">
        <w:rPr>
          <w:lang w:eastAsia="ar-SA"/>
        </w:rPr>
        <w:t xml:space="preserve"> </w:t>
      </w:r>
      <w:r w:rsidR="00BB48D1" w:rsidRPr="00F71B2E">
        <w:rPr>
          <w:lang w:eastAsia="ar-SA"/>
        </w:rPr>
        <w:t>ДП "УКРНДІВУГЛЕЗБАГАЧЕННЯ"</w:t>
      </w:r>
      <w:r w:rsidR="009D611A" w:rsidRPr="00F71B2E">
        <w:rPr>
          <w:lang w:eastAsia="ar-SA"/>
        </w:rPr>
        <w:t>» виробнику, на визначені замовником марки вугілля. Якщо учасник не є власником зазначених документів, у складі тендерної пропозиції такий учасник повинен надати лист(листи) від власника(власників) таких документів, адресований замовнику, в якому зазначено право використання учасником зазначених документів в цьому тендері із зазначенням ідентифікатора закупівлі в електронній системі закуп</w:t>
      </w:r>
      <w:r w:rsidR="00B509FA" w:rsidRPr="00F71B2E">
        <w:rPr>
          <w:lang w:eastAsia="ar-SA"/>
        </w:rPr>
        <w:t>івель.</w:t>
      </w:r>
    </w:p>
    <w:p w14:paraId="60A42CAE" w14:textId="77777777" w:rsidR="009D611A" w:rsidRPr="00F71B2E" w:rsidRDefault="005D03C4" w:rsidP="0003442E">
      <w:pPr>
        <w:ind w:firstLine="567"/>
        <w:jc w:val="both"/>
        <w:rPr>
          <w:lang w:eastAsia="ar-SA"/>
        </w:rPr>
      </w:pPr>
      <w:r w:rsidRPr="00F71B2E">
        <w:rPr>
          <w:lang w:eastAsia="ar-SA"/>
        </w:rPr>
        <w:t>2</w:t>
      </w:r>
      <w:r w:rsidR="009D611A" w:rsidRPr="00F71B2E">
        <w:rPr>
          <w:lang w:eastAsia="ar-SA"/>
        </w:rPr>
        <w:t xml:space="preserve">.4.Документи, які підтверджують інформацію, </w:t>
      </w:r>
      <w:r w:rsidR="00B509FA" w:rsidRPr="00F71B2E">
        <w:rPr>
          <w:lang w:eastAsia="ar-SA"/>
        </w:rPr>
        <w:t>зазначену у довідці з</w:t>
      </w:r>
      <w:r w:rsidRPr="00F71B2E">
        <w:rPr>
          <w:lang w:eastAsia="ar-SA"/>
        </w:rPr>
        <w:t>гідно з п.2</w:t>
      </w:r>
      <w:r w:rsidR="00E67BE7" w:rsidRPr="00F71B2E">
        <w:rPr>
          <w:lang w:eastAsia="ar-SA"/>
        </w:rPr>
        <w:t>.2. даного додатку</w:t>
      </w:r>
      <w:r w:rsidR="009D611A" w:rsidRPr="00F71B2E">
        <w:rPr>
          <w:lang w:eastAsia="ar-SA"/>
        </w:rPr>
        <w:t>: чинний договір(и) купівлі-продажу (або постачання) визначених замовником в цьому тендері марок вугілля між учасником і виробником товару (або продавцем, або постачальником) (якщо учасник не є виробником); договір(и) купівлі-продажу (або постачання) визначених замовником марок вугілля між продавцем (або постачальником) і виробником товару (якщо учасник не є виробником та/або не має прямих договірних відносин з виробником).</w:t>
      </w:r>
    </w:p>
    <w:p w14:paraId="15530573" w14:textId="77777777" w:rsidR="009D611A" w:rsidRPr="00F71B2E" w:rsidRDefault="00FF522D" w:rsidP="0003442E">
      <w:pPr>
        <w:ind w:firstLine="567"/>
        <w:jc w:val="both"/>
        <w:rPr>
          <w:lang w:eastAsia="ar-SA"/>
        </w:rPr>
      </w:pPr>
      <w:r w:rsidRPr="00F71B2E">
        <w:rPr>
          <w:lang w:eastAsia="ar-SA"/>
        </w:rPr>
        <w:t>2</w:t>
      </w:r>
      <w:r w:rsidR="009D611A" w:rsidRPr="00F71B2E">
        <w:rPr>
          <w:lang w:eastAsia="ar-SA"/>
        </w:rPr>
        <w:t>.</w:t>
      </w:r>
      <w:r w:rsidR="005D03C4" w:rsidRPr="00F71B2E">
        <w:rPr>
          <w:lang w:eastAsia="ar-SA"/>
        </w:rPr>
        <w:t>5</w:t>
      </w:r>
      <w:r w:rsidR="00830A58" w:rsidRPr="00F71B2E">
        <w:rPr>
          <w:lang w:val="ru-RU" w:eastAsia="ar-SA"/>
        </w:rPr>
        <w:t>.</w:t>
      </w:r>
      <w:r w:rsidR="009D611A" w:rsidRPr="00F71B2E">
        <w:rPr>
          <w:lang w:eastAsia="ar-SA"/>
        </w:rPr>
        <w:t>Для підтвердження статусу легальності виробника надати:</w:t>
      </w:r>
    </w:p>
    <w:p w14:paraId="2D04D862" w14:textId="7E5AE0C9" w:rsidR="009D611A" w:rsidRPr="00F71B2E" w:rsidRDefault="009D611A" w:rsidP="0003442E">
      <w:pPr>
        <w:ind w:firstLine="567"/>
        <w:jc w:val="both"/>
        <w:rPr>
          <w:lang w:eastAsia="ar-SA"/>
        </w:rPr>
      </w:pPr>
      <w:r w:rsidRPr="00F71B2E">
        <w:rPr>
          <w:lang w:eastAsia="ar-SA"/>
        </w:rPr>
        <w:t xml:space="preserve">- довідку в довільній формі із посиланням на інформаційну систему «Реєстр дозволів на виконання робіт підвищеної небезпеки та на експлуатацію (застосування) машин, механізмів, </w:t>
      </w:r>
      <w:r w:rsidR="00F8528A" w:rsidRPr="00F71B2E">
        <w:rPr>
          <w:lang w:eastAsia="ar-SA"/>
        </w:rPr>
        <w:t>устаткування</w:t>
      </w:r>
      <w:r w:rsidRPr="00F71B2E">
        <w:rPr>
          <w:lang w:eastAsia="ar-SA"/>
        </w:rPr>
        <w:t xml:space="preserve"> підвищеної небезпеки» (http://dozvil.ndiop.kiev.ua/) щодо виробника вугілля (зазначеного </w:t>
      </w:r>
      <w:r w:rsidR="00D4552B" w:rsidRPr="00F71B2E">
        <w:rPr>
          <w:lang w:eastAsia="ar-SA"/>
        </w:rPr>
        <w:t>учасником в довідці згідно з п.2</w:t>
      </w:r>
      <w:r w:rsidR="00352888" w:rsidRPr="00F71B2E">
        <w:rPr>
          <w:lang w:eastAsia="ar-SA"/>
        </w:rPr>
        <w:t>.2</w:t>
      </w:r>
      <w:r w:rsidRPr="00F71B2E">
        <w:rPr>
          <w:lang w:eastAsia="ar-SA"/>
        </w:rPr>
        <w:t xml:space="preserve">. </w:t>
      </w:r>
      <w:r w:rsidR="00E67BE7" w:rsidRPr="00F71B2E">
        <w:rPr>
          <w:lang w:eastAsia="ar-SA"/>
        </w:rPr>
        <w:t>даного додатку</w:t>
      </w:r>
      <w:r w:rsidRPr="00F71B2E">
        <w:rPr>
          <w:lang w:eastAsia="ar-SA"/>
        </w:rPr>
        <w:t>), згідно з яким підтвердженням статусу легальності його діяльності  є наявність у нього чинних дозволів, виданих Державною службою України з питань праці, на експлуа</w:t>
      </w:r>
      <w:r w:rsidR="007E34F6" w:rsidRPr="00F71B2E">
        <w:rPr>
          <w:lang w:eastAsia="ar-SA"/>
        </w:rPr>
        <w:t>тацію машин, механізмів, устатку</w:t>
      </w:r>
      <w:r w:rsidRPr="00F71B2E">
        <w:rPr>
          <w:lang w:eastAsia="ar-SA"/>
        </w:rPr>
        <w:t xml:space="preserve">вання підвищеної небезпеки у вугільній промисловості та на виконання робіт підвищеної небезпеки. Відсутність у виробника будь-якого з перелічених дозволів або дані про їхнє анулювання є підставою для відхилення тендерної пропозиції учасника; </w:t>
      </w:r>
    </w:p>
    <w:p w14:paraId="26296119" w14:textId="77777777" w:rsidR="00274AA9" w:rsidRDefault="00274AA9" w:rsidP="0003442E">
      <w:pPr>
        <w:ind w:firstLine="567"/>
        <w:jc w:val="both"/>
        <w:rPr>
          <w:lang w:eastAsia="ar-SA"/>
        </w:rPr>
      </w:pPr>
      <w:r w:rsidRPr="00274AA9">
        <w:rPr>
          <w:lang w:eastAsia="ar-SA"/>
        </w:rPr>
        <w:t>- копії технічних умов (ТУ) або ДСТУ (оформлених у відповідності до вимог чинного законодавства України), відповідно до яких виготовляються визначені замовником в цьому тендері марки вугілля, та висновку державної санітарно-епідеміологічної експертизи відповідності товару вимогам чинного санітарного законодавства України.</w:t>
      </w:r>
    </w:p>
    <w:p w14:paraId="1507A62A" w14:textId="4744DC4E" w:rsidR="009D611A" w:rsidRPr="00F71B2E" w:rsidRDefault="005D03C4" w:rsidP="0003442E">
      <w:pPr>
        <w:ind w:firstLine="567"/>
        <w:jc w:val="both"/>
        <w:rPr>
          <w:lang w:eastAsia="ar-SA"/>
        </w:rPr>
      </w:pPr>
      <w:r w:rsidRPr="00F71B2E">
        <w:rPr>
          <w:lang w:eastAsia="ar-SA"/>
        </w:rPr>
        <w:t xml:space="preserve"> 2.6</w:t>
      </w:r>
      <w:r w:rsidR="00115C90" w:rsidRPr="00F71B2E">
        <w:rPr>
          <w:lang w:eastAsia="ar-SA"/>
        </w:rPr>
        <w:t>.</w:t>
      </w:r>
      <w:r w:rsidR="009D611A" w:rsidRPr="00F71B2E">
        <w:rPr>
          <w:lang w:eastAsia="ar-SA"/>
        </w:rPr>
        <w:t>Оригінал або копія сертифікату (сертифікатів) відповідності на визначені замовником марки вугілля, виданий не раніше 2020 року стосовно вугілля минулих партій учаснику (або виробнику, або постачальнику, що зазначений учасник</w:t>
      </w:r>
      <w:r w:rsidRPr="00F71B2E">
        <w:rPr>
          <w:lang w:eastAsia="ar-SA"/>
        </w:rPr>
        <w:t>ом в інформації на виконання п.2</w:t>
      </w:r>
      <w:r w:rsidR="00F410DB" w:rsidRPr="00F71B2E">
        <w:rPr>
          <w:lang w:eastAsia="ar-SA"/>
        </w:rPr>
        <w:t>.2</w:t>
      </w:r>
      <w:r w:rsidR="009D611A" w:rsidRPr="00F71B2E">
        <w:rPr>
          <w:lang w:eastAsia="ar-SA"/>
        </w:rPr>
        <w:t xml:space="preserve"> </w:t>
      </w:r>
      <w:r w:rsidR="00960949" w:rsidRPr="00F71B2E">
        <w:rPr>
          <w:lang w:eastAsia="ar-SA"/>
        </w:rPr>
        <w:t xml:space="preserve">цього </w:t>
      </w:r>
      <w:r w:rsidR="009D611A" w:rsidRPr="00F71B2E">
        <w:rPr>
          <w:lang w:eastAsia="ar-SA"/>
        </w:rPr>
        <w:t>д</w:t>
      </w:r>
      <w:r w:rsidR="00960949" w:rsidRPr="00F71B2E">
        <w:rPr>
          <w:lang w:eastAsia="ar-SA"/>
        </w:rPr>
        <w:t>одатку</w:t>
      </w:r>
      <w:r w:rsidR="009D611A" w:rsidRPr="00F71B2E">
        <w:rPr>
          <w:lang w:eastAsia="ar-SA"/>
        </w:rPr>
        <w:t xml:space="preserve">) органом з сертифікації продукції (зокрема – твердого палива), акредитованим Національним агентством з акредитації України відповідно до ДСТУ EN ISO/IEC 17065:2019 або ДСТУ EN ISO/IEC 17065:2014. Учасник повинен надати документ про акредитацію органу з сертифікації продукції зі сферою акредитації. </w:t>
      </w:r>
    </w:p>
    <w:p w14:paraId="617E4F94" w14:textId="77777777" w:rsidR="009D611A" w:rsidRPr="00F71B2E" w:rsidRDefault="009D611A" w:rsidP="0003442E">
      <w:pPr>
        <w:ind w:firstLine="567"/>
        <w:jc w:val="both"/>
        <w:rPr>
          <w:lang w:eastAsia="ar-SA"/>
        </w:rPr>
      </w:pPr>
      <w:r w:rsidRPr="00F71B2E">
        <w:rPr>
          <w:lang w:eastAsia="ar-SA"/>
        </w:rPr>
        <w:t xml:space="preserve"> Якщо сертифікат (сертифікати) відповідності виданий не на ім’я учасника, у складі тендерної пропозиції учасник має надати лист (листи) від власника сертифікату адресований замовнику, в якому зазначено номер (номери) сертифікату відповідності, дату видачі та право його використання учасником в цьому тендері з посиланням на номер ідентифікатора закупівлі в електронній системі закупівель.</w:t>
      </w:r>
    </w:p>
    <w:p w14:paraId="45BFD50E" w14:textId="77777777" w:rsidR="009D611A" w:rsidRPr="00F71B2E" w:rsidRDefault="005D03C4" w:rsidP="0003442E">
      <w:pPr>
        <w:ind w:firstLine="567"/>
        <w:jc w:val="both"/>
        <w:rPr>
          <w:lang w:eastAsia="ar-SA"/>
        </w:rPr>
      </w:pPr>
      <w:r w:rsidRPr="00F71B2E">
        <w:rPr>
          <w:lang w:eastAsia="ar-SA"/>
        </w:rPr>
        <w:t>2.7</w:t>
      </w:r>
      <w:r w:rsidR="00115C90" w:rsidRPr="00F71B2E">
        <w:rPr>
          <w:lang w:eastAsia="ar-SA"/>
        </w:rPr>
        <w:t>.</w:t>
      </w:r>
      <w:r w:rsidR="009D611A" w:rsidRPr="00F71B2E">
        <w:rPr>
          <w:lang w:eastAsia="ar-SA"/>
        </w:rPr>
        <w:t xml:space="preserve">Оригінал чинного на дату розкриття тендерних пропозицій сертифікату на систему управління якістю, виданого учаснику органом сертифікації (або органом з оцінки відповідності), про відповідність системи управління охороною здоров’я та безпекою праці учасника стосовно оптової торгівлі твердим, рідким, газоподібним паливом і подібними </w:t>
      </w:r>
      <w:r w:rsidR="009D611A" w:rsidRPr="00F71B2E">
        <w:rPr>
          <w:lang w:eastAsia="ar-SA"/>
        </w:rPr>
        <w:lastRenderedPageBreak/>
        <w:t>продуктами (код ДКПП 46.71) вимогам ДСТУ ISO 45001:2019 (ISO 45001:2018, IDT) (або ДСТУ ОНSAS 18001:2010 або OHSAS 18001:2007).</w:t>
      </w:r>
    </w:p>
    <w:p w14:paraId="6B5D5053" w14:textId="77777777" w:rsidR="009D611A" w:rsidRPr="00F71B2E" w:rsidRDefault="005D03C4" w:rsidP="0003442E">
      <w:pPr>
        <w:ind w:firstLine="567"/>
        <w:jc w:val="both"/>
        <w:rPr>
          <w:lang w:eastAsia="ar-SA"/>
        </w:rPr>
      </w:pPr>
      <w:r w:rsidRPr="00F71B2E">
        <w:rPr>
          <w:lang w:eastAsia="ar-SA"/>
        </w:rPr>
        <w:t>2.8</w:t>
      </w:r>
      <w:r w:rsidR="00115C90" w:rsidRPr="00F71B2E">
        <w:rPr>
          <w:lang w:eastAsia="ar-SA"/>
        </w:rPr>
        <w:t>.</w:t>
      </w:r>
      <w:r w:rsidR="009D611A" w:rsidRPr="00F71B2E">
        <w:rPr>
          <w:lang w:eastAsia="ar-SA"/>
        </w:rPr>
        <w:t>Оригінал чинного на дату розкриття тендерних пропозицій сертифікату на систему управління якістю, виданого учаснику органом сертифікації (або органом з оцінки відповідності), на відповідність системи управління якістю учасника стосовно оптової торгівлі твердим, рідким, газоподібним паливом і подібними продуктами (код ДКПП 46.71) вимогам ДСТУ ISO 9001:2015 (ISO 9001:2015, IDT).</w:t>
      </w:r>
    </w:p>
    <w:p w14:paraId="75DF82F9" w14:textId="77777777" w:rsidR="009D611A" w:rsidRPr="00F71B2E" w:rsidRDefault="005D03C4" w:rsidP="0003442E">
      <w:pPr>
        <w:ind w:firstLine="567"/>
        <w:jc w:val="both"/>
        <w:rPr>
          <w:lang w:eastAsia="ar-SA"/>
        </w:rPr>
      </w:pPr>
      <w:r w:rsidRPr="00F71B2E">
        <w:rPr>
          <w:lang w:eastAsia="ar-SA"/>
        </w:rPr>
        <w:t>2.9</w:t>
      </w:r>
      <w:r w:rsidR="00115C90" w:rsidRPr="00F71B2E">
        <w:rPr>
          <w:lang w:eastAsia="ar-SA"/>
        </w:rPr>
        <w:t>.</w:t>
      </w:r>
      <w:r w:rsidR="009D611A" w:rsidRPr="00F71B2E">
        <w:rPr>
          <w:lang w:eastAsia="ar-SA"/>
        </w:rPr>
        <w:t>Оригінал чинного на дату розкриття тендерних пропозицій сертифікату реєстрації відповідності, виданого учаснику органом сертифікації (або органом з оцінки відповідності), про реєстрацію  відповідності системи екологічного менеджменту учасника стосовно оптової торгівлі твердим, рідким, газоподібним паливом і подібними продуктами (код ДКПП 46.71) вимогам ДСТУ ISO 14001:2015 (ISO 14001:2015, IDT).</w:t>
      </w:r>
    </w:p>
    <w:p w14:paraId="1AB0905B" w14:textId="77777777" w:rsidR="009D611A" w:rsidRPr="00F71B2E" w:rsidRDefault="005D03C4" w:rsidP="0003442E">
      <w:pPr>
        <w:ind w:firstLine="567"/>
        <w:jc w:val="both"/>
        <w:rPr>
          <w:lang w:eastAsia="ar-SA"/>
        </w:rPr>
      </w:pPr>
      <w:r w:rsidRPr="00F71B2E">
        <w:rPr>
          <w:lang w:eastAsia="ar-SA"/>
        </w:rPr>
        <w:t>2.10.</w:t>
      </w:r>
      <w:r w:rsidR="009D611A" w:rsidRPr="00F71B2E">
        <w:rPr>
          <w:lang w:eastAsia="ar-SA"/>
        </w:rPr>
        <w:t>Оригінал чинного на дату розкриття тендерних пропозицій сертифікату на систему управління якістю, виданого учаснику органом сертифікації (або органом з оцінки відповідності), про відповідність системи управління безпекою ланцюга постачання учасника стосовно оптової торгівлі твердим, рідким, газоподібним паливом і подібними продуктами (код ДКПП 46.71) вимогам ДСТУ ISO 28000:2008 (ISO 28000:2007, IDT).</w:t>
      </w:r>
    </w:p>
    <w:p w14:paraId="029EBD51" w14:textId="77777777" w:rsidR="00531FE4" w:rsidRPr="00F71B2E" w:rsidRDefault="005D03C4" w:rsidP="0003442E">
      <w:pPr>
        <w:ind w:firstLine="567"/>
        <w:jc w:val="both"/>
        <w:rPr>
          <w:lang w:eastAsia="ar-SA"/>
        </w:rPr>
      </w:pPr>
      <w:r w:rsidRPr="00F71B2E">
        <w:rPr>
          <w:lang w:eastAsia="ar-SA"/>
        </w:rPr>
        <w:t>2.11.</w:t>
      </w:r>
      <w:r w:rsidR="009D611A" w:rsidRPr="00F71B2E">
        <w:rPr>
          <w:lang w:eastAsia="ar-SA"/>
        </w:rPr>
        <w:t xml:space="preserve">Якщо учасником пропонується еквівалент товару, він повинен додатково у складі пропозиції надати таблицю, складену в довільні формі, яка у порівняльному вигляді містить відомості щодо всіх основних якісних, технологічних, експлуатаційних показників марок вугілля, що закуповується замовником в цьому тендері, до аналогічних характеристик еквівалентного товару, що пропонується учасником. При цьому якість запропонованого еквіваленту товару має відповідати якості (бути не гіршою), що заявлена у технічній специфікації замовника. Крім того, у складі пропозиції учасник повинен надати документ (висновок або лист замовнику) від ВП «УКРНДІВУГЛЕЗБАГАЧЕННЯ», що запропонований учасником товар є еквівалентом марки вугілля, що закуповується замовником у відповідності до вимог </w:t>
      </w:r>
      <w:r w:rsidR="00F410DB" w:rsidRPr="00F71B2E">
        <w:rPr>
          <w:lang w:eastAsia="ar-SA"/>
        </w:rPr>
        <w:t>Замовника.</w:t>
      </w:r>
    </w:p>
    <w:sectPr w:rsidR="00531FE4" w:rsidRPr="00F71B2E" w:rsidSect="00DF5339">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3FCD"/>
    <w:multiLevelType w:val="hybridMultilevel"/>
    <w:tmpl w:val="C9BEF36C"/>
    <w:lvl w:ilvl="0" w:tplc="04220001">
      <w:start w:val="1"/>
      <w:numFmt w:val="bullet"/>
      <w:lvlText w:val=""/>
      <w:lvlJc w:val="left"/>
      <w:pPr>
        <w:tabs>
          <w:tab w:val="num" w:pos="720"/>
        </w:tabs>
        <w:ind w:left="720" w:hanging="360"/>
      </w:pPr>
      <w:rPr>
        <w:rFonts w:ascii="Symbol" w:eastAsia="Times New Roman"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A4C52"/>
    <w:multiLevelType w:val="hybridMultilevel"/>
    <w:tmpl w:val="EE76E754"/>
    <w:lvl w:ilvl="0" w:tplc="43AC8BA2">
      <w:start w:val="1"/>
      <w:numFmt w:val="decimal"/>
      <w:lvlText w:val="%1."/>
      <w:lvlJc w:val="left"/>
      <w:pPr>
        <w:ind w:left="988" w:hanging="420"/>
      </w:pPr>
      <w:rPr>
        <w:rFonts w:ascii="Times New Roman" w:eastAsia="Times New Roman" w:hAnsi="Times New Roman"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15:restartNumberingAfterBreak="0">
    <w:nsid w:val="0AC72818"/>
    <w:multiLevelType w:val="hybridMultilevel"/>
    <w:tmpl w:val="FE521B8A"/>
    <w:lvl w:ilvl="0" w:tplc="9ECEE086">
      <w:start w:val="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FA429A7"/>
    <w:multiLevelType w:val="hybridMultilevel"/>
    <w:tmpl w:val="EE76E754"/>
    <w:lvl w:ilvl="0" w:tplc="43AC8BA2">
      <w:start w:val="1"/>
      <w:numFmt w:val="decimal"/>
      <w:lvlText w:val="%1."/>
      <w:lvlJc w:val="left"/>
      <w:pPr>
        <w:ind w:left="959" w:hanging="420"/>
      </w:pPr>
      <w:rPr>
        <w:rFonts w:ascii="Times New Roman" w:eastAsia="Times New Roman" w:hAnsi="Times New Roman" w:cs="Times New Roman"/>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4" w15:restartNumberingAfterBreak="0">
    <w:nsid w:val="131832E9"/>
    <w:multiLevelType w:val="hybridMultilevel"/>
    <w:tmpl w:val="EE76E754"/>
    <w:lvl w:ilvl="0" w:tplc="43AC8BA2">
      <w:start w:val="1"/>
      <w:numFmt w:val="decimal"/>
      <w:lvlText w:val="%1."/>
      <w:lvlJc w:val="left"/>
      <w:pPr>
        <w:ind w:left="959" w:hanging="420"/>
      </w:pPr>
      <w:rPr>
        <w:rFonts w:ascii="Times New Roman" w:eastAsia="Times New Roman" w:hAnsi="Times New Roman" w:cs="Times New Roman"/>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5" w15:restartNumberingAfterBreak="0">
    <w:nsid w:val="15B02B61"/>
    <w:multiLevelType w:val="hybridMultilevel"/>
    <w:tmpl w:val="EE76E754"/>
    <w:lvl w:ilvl="0" w:tplc="43AC8BA2">
      <w:start w:val="1"/>
      <w:numFmt w:val="decimal"/>
      <w:lvlText w:val="%1."/>
      <w:lvlJc w:val="left"/>
      <w:pPr>
        <w:ind w:left="959" w:hanging="420"/>
      </w:pPr>
      <w:rPr>
        <w:rFonts w:ascii="Times New Roman" w:eastAsia="Times New Roman" w:hAnsi="Times New Roman" w:cs="Times New Roman"/>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15:restartNumberingAfterBreak="0">
    <w:nsid w:val="1A405175"/>
    <w:multiLevelType w:val="hybridMultilevel"/>
    <w:tmpl w:val="EE76E754"/>
    <w:lvl w:ilvl="0" w:tplc="43AC8BA2">
      <w:start w:val="1"/>
      <w:numFmt w:val="decimal"/>
      <w:lvlText w:val="%1."/>
      <w:lvlJc w:val="left"/>
      <w:pPr>
        <w:ind w:left="988" w:hanging="420"/>
      </w:pPr>
      <w:rPr>
        <w:rFonts w:ascii="Times New Roman" w:eastAsia="Times New Roman" w:hAnsi="Times New Roman"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15:restartNumberingAfterBreak="0">
    <w:nsid w:val="288F1F75"/>
    <w:multiLevelType w:val="hybridMultilevel"/>
    <w:tmpl w:val="EE76E754"/>
    <w:lvl w:ilvl="0" w:tplc="43AC8BA2">
      <w:start w:val="1"/>
      <w:numFmt w:val="decimal"/>
      <w:lvlText w:val="%1."/>
      <w:lvlJc w:val="left"/>
      <w:pPr>
        <w:ind w:left="959" w:hanging="420"/>
      </w:pPr>
      <w:rPr>
        <w:rFonts w:ascii="Times New Roman" w:eastAsia="Times New Roman" w:hAnsi="Times New Roman" w:cs="Times New Roman"/>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8" w15:restartNumberingAfterBreak="0">
    <w:nsid w:val="3C972DBF"/>
    <w:multiLevelType w:val="hybridMultilevel"/>
    <w:tmpl w:val="66843948"/>
    <w:lvl w:ilvl="0" w:tplc="0409000F">
      <w:start w:val="1"/>
      <w:numFmt w:val="decimal"/>
      <w:lvlText w:val="%1."/>
      <w:lvlJc w:val="left"/>
      <w:pPr>
        <w:ind w:left="1259" w:hanging="360"/>
      </w:pPr>
      <w:rPr>
        <w:rFonts w:cs="Times New Roman"/>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abstractNum w:abstractNumId="9" w15:restartNumberingAfterBreak="0">
    <w:nsid w:val="5DA4313F"/>
    <w:multiLevelType w:val="hybridMultilevel"/>
    <w:tmpl w:val="EE76E754"/>
    <w:lvl w:ilvl="0" w:tplc="43AC8BA2">
      <w:start w:val="1"/>
      <w:numFmt w:val="decimal"/>
      <w:lvlText w:val="%1."/>
      <w:lvlJc w:val="left"/>
      <w:pPr>
        <w:ind w:left="959" w:hanging="420"/>
      </w:pPr>
      <w:rPr>
        <w:rFonts w:ascii="Times New Roman" w:eastAsia="Times New Roman" w:hAnsi="Times New Roman" w:cs="Times New Roman"/>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0" w15:restartNumberingAfterBreak="0">
    <w:nsid w:val="620B799C"/>
    <w:multiLevelType w:val="hybridMultilevel"/>
    <w:tmpl w:val="889A1AAC"/>
    <w:lvl w:ilvl="0" w:tplc="7012D74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15:restartNumberingAfterBreak="0">
    <w:nsid w:val="7C3843AD"/>
    <w:multiLevelType w:val="hybridMultilevel"/>
    <w:tmpl w:val="AED4A01A"/>
    <w:lvl w:ilvl="0" w:tplc="0422000F">
      <w:start w:val="1"/>
      <w:numFmt w:val="decimal"/>
      <w:lvlText w:val="%1."/>
      <w:lvlJc w:val="left"/>
      <w:pPr>
        <w:ind w:left="780" w:hanging="360"/>
      </w:pPr>
      <w:rPr>
        <w:rFonts w:cs="Times New Roman"/>
      </w:rPr>
    </w:lvl>
    <w:lvl w:ilvl="1" w:tplc="04220019">
      <w:start w:val="1"/>
      <w:numFmt w:val="lowerLetter"/>
      <w:lvlText w:val="%2."/>
      <w:lvlJc w:val="left"/>
      <w:pPr>
        <w:ind w:left="1500" w:hanging="360"/>
      </w:pPr>
      <w:rPr>
        <w:rFonts w:cs="Times New Roman"/>
      </w:rPr>
    </w:lvl>
    <w:lvl w:ilvl="2" w:tplc="0422001B">
      <w:start w:val="1"/>
      <w:numFmt w:val="lowerRoman"/>
      <w:lvlText w:val="%3."/>
      <w:lvlJc w:val="right"/>
      <w:pPr>
        <w:ind w:left="2220" w:hanging="180"/>
      </w:pPr>
      <w:rPr>
        <w:rFonts w:cs="Times New Roman"/>
      </w:rPr>
    </w:lvl>
    <w:lvl w:ilvl="3" w:tplc="0422000F">
      <w:start w:val="1"/>
      <w:numFmt w:val="decimal"/>
      <w:lvlText w:val="%4."/>
      <w:lvlJc w:val="left"/>
      <w:pPr>
        <w:ind w:left="2940" w:hanging="360"/>
      </w:pPr>
      <w:rPr>
        <w:rFonts w:cs="Times New Roman"/>
      </w:rPr>
    </w:lvl>
    <w:lvl w:ilvl="4" w:tplc="04220019">
      <w:start w:val="1"/>
      <w:numFmt w:val="lowerLetter"/>
      <w:lvlText w:val="%5."/>
      <w:lvlJc w:val="left"/>
      <w:pPr>
        <w:ind w:left="3660" w:hanging="360"/>
      </w:pPr>
      <w:rPr>
        <w:rFonts w:cs="Times New Roman"/>
      </w:rPr>
    </w:lvl>
    <w:lvl w:ilvl="5" w:tplc="0422001B">
      <w:start w:val="1"/>
      <w:numFmt w:val="lowerRoman"/>
      <w:lvlText w:val="%6."/>
      <w:lvlJc w:val="right"/>
      <w:pPr>
        <w:ind w:left="4380" w:hanging="180"/>
      </w:pPr>
      <w:rPr>
        <w:rFonts w:cs="Times New Roman"/>
      </w:rPr>
    </w:lvl>
    <w:lvl w:ilvl="6" w:tplc="0422000F">
      <w:start w:val="1"/>
      <w:numFmt w:val="decimal"/>
      <w:lvlText w:val="%7."/>
      <w:lvlJc w:val="left"/>
      <w:pPr>
        <w:ind w:left="5100" w:hanging="360"/>
      </w:pPr>
      <w:rPr>
        <w:rFonts w:cs="Times New Roman"/>
      </w:rPr>
    </w:lvl>
    <w:lvl w:ilvl="7" w:tplc="04220019">
      <w:start w:val="1"/>
      <w:numFmt w:val="lowerLetter"/>
      <w:lvlText w:val="%8."/>
      <w:lvlJc w:val="left"/>
      <w:pPr>
        <w:ind w:left="5820" w:hanging="360"/>
      </w:pPr>
      <w:rPr>
        <w:rFonts w:cs="Times New Roman"/>
      </w:rPr>
    </w:lvl>
    <w:lvl w:ilvl="8" w:tplc="0422001B">
      <w:start w:val="1"/>
      <w:numFmt w:val="lowerRoman"/>
      <w:lvlText w:val="%9."/>
      <w:lvlJc w:val="right"/>
      <w:pPr>
        <w:ind w:left="6540" w:hanging="180"/>
      </w:pPr>
      <w:rPr>
        <w:rFonts w:cs="Times New Roman"/>
      </w:rPr>
    </w:lvl>
  </w:abstractNum>
  <w:abstractNum w:abstractNumId="12" w15:restartNumberingAfterBreak="0">
    <w:nsid w:val="7EB11FA5"/>
    <w:multiLevelType w:val="multilevel"/>
    <w:tmpl w:val="D3C6D792"/>
    <w:lvl w:ilvl="0">
      <w:start w:val="1"/>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7"/>
  </w:num>
  <w:num w:numId="8">
    <w:abstractNumId w:val="1"/>
  </w:num>
  <w:num w:numId="9">
    <w:abstractNumId w:val="3"/>
  </w:num>
  <w:num w:numId="10">
    <w:abstractNumId w:val="9"/>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5E"/>
    <w:rsid w:val="00004803"/>
    <w:rsid w:val="00022DD3"/>
    <w:rsid w:val="00027868"/>
    <w:rsid w:val="0003442E"/>
    <w:rsid w:val="00044ECF"/>
    <w:rsid w:val="00050B7C"/>
    <w:rsid w:val="00056FA4"/>
    <w:rsid w:val="00057C95"/>
    <w:rsid w:val="000751EA"/>
    <w:rsid w:val="000A3A79"/>
    <w:rsid w:val="000A738E"/>
    <w:rsid w:val="000B2D43"/>
    <w:rsid w:val="000B320E"/>
    <w:rsid w:val="000B3EB7"/>
    <w:rsid w:val="000B56C9"/>
    <w:rsid w:val="000B7051"/>
    <w:rsid w:val="000D4F8B"/>
    <w:rsid w:val="000D5938"/>
    <w:rsid w:val="000F1CFB"/>
    <w:rsid w:val="00101F31"/>
    <w:rsid w:val="00106580"/>
    <w:rsid w:val="001102EB"/>
    <w:rsid w:val="00115C90"/>
    <w:rsid w:val="00124D90"/>
    <w:rsid w:val="00124EFA"/>
    <w:rsid w:val="00125D26"/>
    <w:rsid w:val="00132A5F"/>
    <w:rsid w:val="00135BBE"/>
    <w:rsid w:val="00155262"/>
    <w:rsid w:val="00160203"/>
    <w:rsid w:val="00164605"/>
    <w:rsid w:val="00167115"/>
    <w:rsid w:val="001778CA"/>
    <w:rsid w:val="001E63AB"/>
    <w:rsid w:val="00211A52"/>
    <w:rsid w:val="0021782F"/>
    <w:rsid w:val="00224300"/>
    <w:rsid w:val="00247A52"/>
    <w:rsid w:val="002571F8"/>
    <w:rsid w:val="00260431"/>
    <w:rsid w:val="00263646"/>
    <w:rsid w:val="00274AA9"/>
    <w:rsid w:val="00290E77"/>
    <w:rsid w:val="00292314"/>
    <w:rsid w:val="002C3AFD"/>
    <w:rsid w:val="002D4FF3"/>
    <w:rsid w:val="002E3853"/>
    <w:rsid w:val="002E6B7B"/>
    <w:rsid w:val="003075CD"/>
    <w:rsid w:val="003153CE"/>
    <w:rsid w:val="00324213"/>
    <w:rsid w:val="00331F1E"/>
    <w:rsid w:val="0034242F"/>
    <w:rsid w:val="00342FCF"/>
    <w:rsid w:val="00345B29"/>
    <w:rsid w:val="00352888"/>
    <w:rsid w:val="003675F0"/>
    <w:rsid w:val="00370123"/>
    <w:rsid w:val="00381960"/>
    <w:rsid w:val="003838F5"/>
    <w:rsid w:val="00383AD5"/>
    <w:rsid w:val="003931B0"/>
    <w:rsid w:val="003B0313"/>
    <w:rsid w:val="003B328C"/>
    <w:rsid w:val="003B3A1A"/>
    <w:rsid w:val="003B3F54"/>
    <w:rsid w:val="003C2326"/>
    <w:rsid w:val="003E244D"/>
    <w:rsid w:val="004170AC"/>
    <w:rsid w:val="00465656"/>
    <w:rsid w:val="00471D89"/>
    <w:rsid w:val="00484B66"/>
    <w:rsid w:val="004A1CC2"/>
    <w:rsid w:val="004B3921"/>
    <w:rsid w:val="004C4311"/>
    <w:rsid w:val="004D0973"/>
    <w:rsid w:val="004D5401"/>
    <w:rsid w:val="004E5CC8"/>
    <w:rsid w:val="004F3129"/>
    <w:rsid w:val="00505091"/>
    <w:rsid w:val="00516E5E"/>
    <w:rsid w:val="00531FE4"/>
    <w:rsid w:val="00545DAD"/>
    <w:rsid w:val="0055010B"/>
    <w:rsid w:val="00560AA8"/>
    <w:rsid w:val="00560BD8"/>
    <w:rsid w:val="005673DD"/>
    <w:rsid w:val="00570A9E"/>
    <w:rsid w:val="00574B84"/>
    <w:rsid w:val="0057729C"/>
    <w:rsid w:val="00586B11"/>
    <w:rsid w:val="00593B5E"/>
    <w:rsid w:val="005D03C4"/>
    <w:rsid w:val="005D786E"/>
    <w:rsid w:val="005F5086"/>
    <w:rsid w:val="005F78B9"/>
    <w:rsid w:val="00620F2F"/>
    <w:rsid w:val="00622C8D"/>
    <w:rsid w:val="00623015"/>
    <w:rsid w:val="00636FAA"/>
    <w:rsid w:val="00641896"/>
    <w:rsid w:val="00644ADE"/>
    <w:rsid w:val="006506E2"/>
    <w:rsid w:val="0065513D"/>
    <w:rsid w:val="00672E71"/>
    <w:rsid w:val="00676C97"/>
    <w:rsid w:val="00680227"/>
    <w:rsid w:val="0068638E"/>
    <w:rsid w:val="00695CDF"/>
    <w:rsid w:val="006A0187"/>
    <w:rsid w:val="006A3450"/>
    <w:rsid w:val="006B6857"/>
    <w:rsid w:val="006C41F6"/>
    <w:rsid w:val="006D65EC"/>
    <w:rsid w:val="006F3875"/>
    <w:rsid w:val="006F738F"/>
    <w:rsid w:val="007048ED"/>
    <w:rsid w:val="00716B60"/>
    <w:rsid w:val="0073534F"/>
    <w:rsid w:val="0075557D"/>
    <w:rsid w:val="007660D1"/>
    <w:rsid w:val="007B4FFB"/>
    <w:rsid w:val="007C1D47"/>
    <w:rsid w:val="007E0051"/>
    <w:rsid w:val="007E34F6"/>
    <w:rsid w:val="007E70B6"/>
    <w:rsid w:val="007F035D"/>
    <w:rsid w:val="007F50A7"/>
    <w:rsid w:val="00810E5D"/>
    <w:rsid w:val="00815958"/>
    <w:rsid w:val="00823378"/>
    <w:rsid w:val="00830A58"/>
    <w:rsid w:val="00841699"/>
    <w:rsid w:val="00862037"/>
    <w:rsid w:val="00885F50"/>
    <w:rsid w:val="008A6326"/>
    <w:rsid w:val="008C65CB"/>
    <w:rsid w:val="008D23F4"/>
    <w:rsid w:val="008E4F1C"/>
    <w:rsid w:val="008F5167"/>
    <w:rsid w:val="00921F41"/>
    <w:rsid w:val="0093435B"/>
    <w:rsid w:val="0094348E"/>
    <w:rsid w:val="00960949"/>
    <w:rsid w:val="009659AB"/>
    <w:rsid w:val="00972F90"/>
    <w:rsid w:val="0099567C"/>
    <w:rsid w:val="009A3333"/>
    <w:rsid w:val="009C0EC9"/>
    <w:rsid w:val="009D611A"/>
    <w:rsid w:val="009E518D"/>
    <w:rsid w:val="009F5305"/>
    <w:rsid w:val="00A166D3"/>
    <w:rsid w:val="00A5348F"/>
    <w:rsid w:val="00A648AD"/>
    <w:rsid w:val="00A842B2"/>
    <w:rsid w:val="00A845C0"/>
    <w:rsid w:val="00A87832"/>
    <w:rsid w:val="00AA02F5"/>
    <w:rsid w:val="00AB42AD"/>
    <w:rsid w:val="00AB7375"/>
    <w:rsid w:val="00AC0B44"/>
    <w:rsid w:val="00AC49F7"/>
    <w:rsid w:val="00AC6076"/>
    <w:rsid w:val="00AD6C31"/>
    <w:rsid w:val="00AE67B6"/>
    <w:rsid w:val="00B0251A"/>
    <w:rsid w:val="00B032A8"/>
    <w:rsid w:val="00B138B5"/>
    <w:rsid w:val="00B35534"/>
    <w:rsid w:val="00B42926"/>
    <w:rsid w:val="00B509FA"/>
    <w:rsid w:val="00B50CC6"/>
    <w:rsid w:val="00B52A1B"/>
    <w:rsid w:val="00B54D94"/>
    <w:rsid w:val="00B5518F"/>
    <w:rsid w:val="00B63045"/>
    <w:rsid w:val="00B67F78"/>
    <w:rsid w:val="00B93921"/>
    <w:rsid w:val="00BA1280"/>
    <w:rsid w:val="00BB48D1"/>
    <w:rsid w:val="00BB6B7A"/>
    <w:rsid w:val="00BC50AA"/>
    <w:rsid w:val="00BC793C"/>
    <w:rsid w:val="00BD7133"/>
    <w:rsid w:val="00BE1C19"/>
    <w:rsid w:val="00BF2771"/>
    <w:rsid w:val="00BF61DA"/>
    <w:rsid w:val="00C0215B"/>
    <w:rsid w:val="00C0420C"/>
    <w:rsid w:val="00C120BE"/>
    <w:rsid w:val="00C202CA"/>
    <w:rsid w:val="00C22318"/>
    <w:rsid w:val="00C22A0A"/>
    <w:rsid w:val="00C27A16"/>
    <w:rsid w:val="00C52D96"/>
    <w:rsid w:val="00C74E94"/>
    <w:rsid w:val="00C86174"/>
    <w:rsid w:val="00C9749E"/>
    <w:rsid w:val="00CB6E14"/>
    <w:rsid w:val="00CC2830"/>
    <w:rsid w:val="00CC6FB3"/>
    <w:rsid w:val="00CD61FA"/>
    <w:rsid w:val="00CE5AA4"/>
    <w:rsid w:val="00CE6BE1"/>
    <w:rsid w:val="00CF75C9"/>
    <w:rsid w:val="00D07F54"/>
    <w:rsid w:val="00D25395"/>
    <w:rsid w:val="00D25EB8"/>
    <w:rsid w:val="00D3566C"/>
    <w:rsid w:val="00D41DA0"/>
    <w:rsid w:val="00D4552B"/>
    <w:rsid w:val="00D53A95"/>
    <w:rsid w:val="00D54AE9"/>
    <w:rsid w:val="00D6605E"/>
    <w:rsid w:val="00D732C7"/>
    <w:rsid w:val="00D7358F"/>
    <w:rsid w:val="00D75793"/>
    <w:rsid w:val="00DA3297"/>
    <w:rsid w:val="00DA3778"/>
    <w:rsid w:val="00DB4688"/>
    <w:rsid w:val="00DD070E"/>
    <w:rsid w:val="00DD197D"/>
    <w:rsid w:val="00DF4C97"/>
    <w:rsid w:val="00DF5339"/>
    <w:rsid w:val="00E01774"/>
    <w:rsid w:val="00E0353E"/>
    <w:rsid w:val="00E37B17"/>
    <w:rsid w:val="00E464C2"/>
    <w:rsid w:val="00E61B89"/>
    <w:rsid w:val="00E67BE7"/>
    <w:rsid w:val="00E70354"/>
    <w:rsid w:val="00E72F9E"/>
    <w:rsid w:val="00E7678C"/>
    <w:rsid w:val="00E92F09"/>
    <w:rsid w:val="00EA4227"/>
    <w:rsid w:val="00EB6208"/>
    <w:rsid w:val="00ED08F9"/>
    <w:rsid w:val="00ED63EF"/>
    <w:rsid w:val="00ED79F7"/>
    <w:rsid w:val="00F25D47"/>
    <w:rsid w:val="00F32CB8"/>
    <w:rsid w:val="00F410DB"/>
    <w:rsid w:val="00F46981"/>
    <w:rsid w:val="00F46A85"/>
    <w:rsid w:val="00F64E69"/>
    <w:rsid w:val="00F71B2E"/>
    <w:rsid w:val="00F73A2E"/>
    <w:rsid w:val="00F7690A"/>
    <w:rsid w:val="00F8528A"/>
    <w:rsid w:val="00F91F29"/>
    <w:rsid w:val="00F957FB"/>
    <w:rsid w:val="00F96806"/>
    <w:rsid w:val="00FA21BE"/>
    <w:rsid w:val="00FA273E"/>
    <w:rsid w:val="00FC3012"/>
    <w:rsid w:val="00FC4A3F"/>
    <w:rsid w:val="00FC6936"/>
    <w:rsid w:val="00FF3802"/>
    <w:rsid w:val="00FF52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D3234"/>
  <w14:defaultImageDpi w14:val="0"/>
  <w15:docId w15:val="{AA32D023-82CA-4574-9B85-AB511689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2AD"/>
    <w:pPr>
      <w:spacing w:after="0" w:line="240" w:lineRule="auto"/>
    </w:pPr>
    <w:rPr>
      <w:rFonts w:ascii="Times New Roman" w:hAnsi="Times New Roman" w:cs="Times New Roman"/>
      <w:sz w:val="24"/>
      <w:szCs w:val="24"/>
      <w:lang w:val="uk-UA" w:eastAsia="uk-UA"/>
    </w:rPr>
  </w:style>
  <w:style w:type="paragraph" w:styleId="3">
    <w:name w:val="heading 3"/>
    <w:basedOn w:val="a"/>
    <w:link w:val="30"/>
    <w:uiPriority w:val="9"/>
    <w:qFormat/>
    <w:locked/>
    <w:rsid w:val="00531FE4"/>
    <w:pPr>
      <w:spacing w:before="240" w:after="60"/>
      <w:outlineLvl w:val="2"/>
    </w:pPr>
    <w:rPr>
      <w:rFonts w:ascii="Arial" w:hAnsi="Arial" w:cs="Arial"/>
      <w:b/>
      <w:bCs/>
      <w:color w:val="00000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AB42AD"/>
    <w:pPr>
      <w:spacing w:after="200" w:line="276" w:lineRule="auto"/>
      <w:ind w:left="720"/>
    </w:pPr>
    <w:rPr>
      <w:rFonts w:ascii="Calibri" w:hAnsi="Calibri" w:cs="Calibri"/>
      <w:sz w:val="22"/>
      <w:szCs w:val="22"/>
      <w:lang w:eastAsia="en-US"/>
    </w:rPr>
  </w:style>
  <w:style w:type="paragraph" w:customStyle="1" w:styleId="10">
    <w:name w:val="Обычный1"/>
    <w:uiPriority w:val="99"/>
    <w:rsid w:val="00CD61FA"/>
    <w:pPr>
      <w:spacing w:after="0" w:line="276" w:lineRule="auto"/>
    </w:pPr>
    <w:rPr>
      <w:rFonts w:ascii="Arial" w:hAnsi="Arial" w:cs="Arial"/>
      <w:color w:val="000000"/>
      <w:lang w:val="ru-RU" w:eastAsia="ru-RU"/>
    </w:rPr>
  </w:style>
  <w:style w:type="paragraph" w:styleId="a3">
    <w:name w:val="Normal (Web)"/>
    <w:basedOn w:val="a"/>
    <w:uiPriority w:val="99"/>
    <w:rsid w:val="00CD61FA"/>
    <w:pPr>
      <w:spacing w:after="240"/>
    </w:pPr>
    <w:rPr>
      <w:lang w:val="ru-RU" w:eastAsia="ru-RU"/>
    </w:rPr>
  </w:style>
  <w:style w:type="paragraph" w:styleId="a4">
    <w:name w:val="Balloon Text"/>
    <w:basedOn w:val="a"/>
    <w:link w:val="a5"/>
    <w:uiPriority w:val="99"/>
    <w:semiHidden/>
    <w:unhideWhenUsed/>
    <w:rsid w:val="00124EFA"/>
    <w:rPr>
      <w:rFonts w:ascii="Segoe UI" w:hAnsi="Segoe UI" w:cs="Segoe UI"/>
      <w:sz w:val="18"/>
      <w:szCs w:val="18"/>
    </w:rPr>
  </w:style>
  <w:style w:type="character" w:customStyle="1" w:styleId="a5">
    <w:name w:val="Текст выноски Знак"/>
    <w:basedOn w:val="a0"/>
    <w:link w:val="a4"/>
    <w:uiPriority w:val="99"/>
    <w:semiHidden/>
    <w:locked/>
    <w:rsid w:val="00124EFA"/>
    <w:rPr>
      <w:rFonts w:ascii="Segoe UI" w:hAnsi="Segoe UI" w:cs="Segoe UI"/>
      <w:sz w:val="18"/>
      <w:szCs w:val="18"/>
    </w:rPr>
  </w:style>
  <w:style w:type="character" w:customStyle="1" w:styleId="grame">
    <w:name w:val="grame"/>
    <w:rsid w:val="0055010B"/>
  </w:style>
  <w:style w:type="paragraph" w:styleId="a6">
    <w:name w:val="List Paragraph"/>
    <w:basedOn w:val="a"/>
    <w:uiPriority w:val="99"/>
    <w:qFormat/>
    <w:rsid w:val="00DF5339"/>
    <w:pPr>
      <w:ind w:left="720"/>
      <w:contextualSpacing/>
    </w:pPr>
  </w:style>
  <w:style w:type="paragraph" w:styleId="a7">
    <w:name w:val="No Spacing"/>
    <w:link w:val="a8"/>
    <w:uiPriority w:val="1"/>
    <w:qFormat/>
    <w:rsid w:val="005673DD"/>
    <w:pPr>
      <w:spacing w:after="0" w:line="240" w:lineRule="auto"/>
    </w:pPr>
    <w:rPr>
      <w:rFonts w:eastAsia="Calibri" w:cs="Times New Roman"/>
      <w:lang w:val="uk-UA"/>
    </w:rPr>
  </w:style>
  <w:style w:type="character" w:customStyle="1" w:styleId="a8">
    <w:name w:val="Без интервала Знак"/>
    <w:link w:val="a7"/>
    <w:uiPriority w:val="1"/>
    <w:rsid w:val="005673DD"/>
    <w:rPr>
      <w:rFonts w:eastAsia="Calibri" w:cs="Times New Roman"/>
      <w:lang w:val="uk-UA"/>
    </w:rPr>
  </w:style>
  <w:style w:type="character" w:customStyle="1" w:styleId="tm71">
    <w:name w:val="tm71"/>
    <w:basedOn w:val="a0"/>
    <w:rsid w:val="00531FE4"/>
    <w:rPr>
      <w:sz w:val="24"/>
      <w:szCs w:val="24"/>
    </w:rPr>
  </w:style>
  <w:style w:type="character" w:customStyle="1" w:styleId="30">
    <w:name w:val="Заголовок 3 Знак"/>
    <w:basedOn w:val="a0"/>
    <w:link w:val="3"/>
    <w:uiPriority w:val="9"/>
    <w:rsid w:val="00531FE4"/>
    <w:rPr>
      <w:rFonts w:ascii="Arial" w:hAnsi="Arial" w:cs="Arial"/>
      <w:b/>
      <w:bCs/>
      <w:color w:val="000000"/>
      <w:sz w:val="28"/>
      <w:szCs w:val="28"/>
      <w:lang w:val="ru-RU" w:eastAsia="ru-RU"/>
    </w:rPr>
  </w:style>
  <w:style w:type="character" w:customStyle="1" w:styleId="tm101">
    <w:name w:val="tm101"/>
    <w:basedOn w:val="a0"/>
    <w:rsid w:val="00531FE4"/>
    <w:rPr>
      <w:b/>
      <w:bCs/>
      <w:sz w:val="22"/>
      <w:szCs w:val="22"/>
    </w:rPr>
  </w:style>
  <w:style w:type="character" w:customStyle="1" w:styleId="tm131">
    <w:name w:val="tm131"/>
    <w:basedOn w:val="a0"/>
    <w:rsid w:val="00531FE4"/>
    <w:rPr>
      <w:rFonts w:ascii="Times New Roman" w:hAnsi="Times New Roman" w:cs="Times New Roman" w:hint="default"/>
    </w:rPr>
  </w:style>
  <w:style w:type="character" w:customStyle="1" w:styleId="tm141">
    <w:name w:val="tm141"/>
    <w:basedOn w:val="a0"/>
    <w:rsid w:val="00531FE4"/>
    <w:rPr>
      <w:sz w:val="22"/>
      <w:szCs w:val="22"/>
    </w:rPr>
  </w:style>
  <w:style w:type="character" w:customStyle="1" w:styleId="tm161">
    <w:name w:val="tm161"/>
    <w:basedOn w:val="a0"/>
    <w:rsid w:val="00531FE4"/>
    <w:rPr>
      <w:rFonts w:ascii="Arial" w:hAnsi="Arial" w:cs="Arial" w:hint="default"/>
      <w:sz w:val="22"/>
      <w:szCs w:val="22"/>
    </w:rPr>
  </w:style>
  <w:style w:type="character" w:customStyle="1" w:styleId="tm341">
    <w:name w:val="tm341"/>
    <w:basedOn w:val="a0"/>
    <w:rsid w:val="00531F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9601">
      <w:bodyDiv w:val="1"/>
      <w:marLeft w:val="0"/>
      <w:marRight w:val="0"/>
      <w:marTop w:val="0"/>
      <w:marBottom w:val="0"/>
      <w:divBdr>
        <w:top w:val="none" w:sz="0" w:space="0" w:color="auto"/>
        <w:left w:val="none" w:sz="0" w:space="0" w:color="auto"/>
        <w:bottom w:val="none" w:sz="0" w:space="0" w:color="auto"/>
        <w:right w:val="none" w:sz="0" w:space="0" w:color="auto"/>
      </w:divBdr>
    </w:div>
    <w:div w:id="444465937">
      <w:bodyDiv w:val="1"/>
      <w:marLeft w:val="0"/>
      <w:marRight w:val="0"/>
      <w:marTop w:val="0"/>
      <w:marBottom w:val="0"/>
      <w:divBdr>
        <w:top w:val="none" w:sz="0" w:space="0" w:color="auto"/>
        <w:left w:val="none" w:sz="0" w:space="0" w:color="auto"/>
        <w:bottom w:val="none" w:sz="0" w:space="0" w:color="auto"/>
        <w:right w:val="none" w:sz="0" w:space="0" w:color="auto"/>
      </w:divBdr>
    </w:div>
    <w:div w:id="1781798296">
      <w:marLeft w:val="0"/>
      <w:marRight w:val="0"/>
      <w:marTop w:val="0"/>
      <w:marBottom w:val="0"/>
      <w:divBdr>
        <w:top w:val="none" w:sz="0" w:space="0" w:color="auto"/>
        <w:left w:val="none" w:sz="0" w:space="0" w:color="auto"/>
        <w:bottom w:val="none" w:sz="0" w:space="0" w:color="auto"/>
        <w:right w:val="none" w:sz="0" w:space="0" w:color="auto"/>
      </w:divBdr>
    </w:div>
    <w:div w:id="1781798297">
      <w:marLeft w:val="0"/>
      <w:marRight w:val="0"/>
      <w:marTop w:val="0"/>
      <w:marBottom w:val="0"/>
      <w:divBdr>
        <w:top w:val="none" w:sz="0" w:space="0" w:color="auto"/>
        <w:left w:val="none" w:sz="0" w:space="0" w:color="auto"/>
        <w:bottom w:val="none" w:sz="0" w:space="0" w:color="auto"/>
        <w:right w:val="none" w:sz="0" w:space="0" w:color="auto"/>
      </w:divBdr>
    </w:div>
    <w:div w:id="1860971444">
      <w:bodyDiv w:val="1"/>
      <w:marLeft w:val="0"/>
      <w:marRight w:val="0"/>
      <w:marTop w:val="0"/>
      <w:marBottom w:val="0"/>
      <w:divBdr>
        <w:top w:val="none" w:sz="0" w:space="0" w:color="auto"/>
        <w:left w:val="none" w:sz="0" w:space="0" w:color="auto"/>
        <w:bottom w:val="none" w:sz="0" w:space="0" w:color="auto"/>
        <w:right w:val="none" w:sz="0" w:space="0" w:color="auto"/>
      </w:divBdr>
    </w:div>
    <w:div w:id="204035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AF3AB-B3DB-4509-8789-1165851F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1383</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Вимоги до кваліфікації учасників та спосіб їх підтвердження</vt:lpstr>
    </vt:vector>
  </TitlesOfParts>
  <Company>BestCompany</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Вимоги до кваліфікації учасників та спосіб їх підтвердження</dc:title>
  <dc:subject/>
  <dc:creator>ЛОЦПБС</dc:creator>
  <cp:keywords/>
  <dc:description/>
  <cp:lastModifiedBy>Ирина Ичетовкина</cp:lastModifiedBy>
  <cp:revision>12</cp:revision>
  <cp:lastPrinted>2021-11-08T10:52:00Z</cp:lastPrinted>
  <dcterms:created xsi:type="dcterms:W3CDTF">2021-11-08T11:07:00Z</dcterms:created>
  <dcterms:modified xsi:type="dcterms:W3CDTF">2023-10-09T07:49:00Z</dcterms:modified>
</cp:coreProperties>
</file>