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6F3D053C"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 xml:space="preserve">ПРОТОКОЛ № </w:t>
            </w:r>
            <w:r w:rsidR="00DC02D4">
              <w:rPr>
                <w:rFonts w:ascii="Times New Roman" w:hAnsi="Times New Roman" w:cs="Times New Roman"/>
                <w:b/>
                <w:bCs/>
                <w:lang w:val="uk-UA"/>
              </w:rPr>
              <w:t>5</w:t>
            </w:r>
            <w:r w:rsidR="00763764">
              <w:rPr>
                <w:rFonts w:ascii="Times New Roman" w:hAnsi="Times New Roman" w:cs="Times New Roman"/>
                <w:b/>
                <w:bCs/>
                <w:lang w:val="uk-UA"/>
              </w:rPr>
              <w:t>8</w:t>
            </w:r>
            <w:r w:rsidRPr="001D3AD0">
              <w:rPr>
                <w:rFonts w:ascii="Times New Roman" w:hAnsi="Times New Roman" w:cs="Times New Roman"/>
                <w:b/>
                <w:bCs/>
                <w:lang w:val="uk-UA"/>
              </w:rPr>
              <w:t xml:space="preserve"> УО М</w:t>
            </w:r>
          </w:p>
        </w:tc>
      </w:tr>
      <w:tr w:rsidR="001D3AD0" w:rsidRPr="001D3AD0" w14:paraId="48C6E69E" w14:textId="77777777" w:rsidTr="0038592A">
        <w:tc>
          <w:tcPr>
            <w:tcW w:w="5065" w:type="dxa"/>
            <w:hideMark/>
          </w:tcPr>
          <w:p w14:paraId="33832248" w14:textId="4B00FC2B"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763764">
              <w:rPr>
                <w:rFonts w:ascii="Times New Roman" w:hAnsi="Times New Roman" w:cs="Times New Roman"/>
                <w:b/>
                <w:bCs/>
                <w:lang w:val="uk-UA"/>
              </w:rPr>
              <w:t>02</w:t>
            </w:r>
            <w:r w:rsidR="007B7B35" w:rsidRPr="001D3AD0">
              <w:rPr>
                <w:rFonts w:ascii="Times New Roman" w:hAnsi="Times New Roman" w:cs="Times New Roman"/>
                <w:b/>
                <w:bCs/>
                <w:lang w:val="uk-UA"/>
              </w:rPr>
              <w:t xml:space="preserve">» </w:t>
            </w:r>
            <w:r w:rsidR="00763764">
              <w:rPr>
                <w:rFonts w:ascii="Times New Roman" w:hAnsi="Times New Roman" w:cs="Times New Roman"/>
                <w:b/>
                <w:bCs/>
                <w:lang w:val="uk-UA"/>
              </w:rPr>
              <w:t>червня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3283A6D"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754AED">
              <w:rPr>
                <w:rFonts w:ascii="Times New Roman" w:hAnsi="Times New Roman" w:cs="Times New Roman"/>
                <w:b/>
                <w:bCs/>
                <w:lang w:val="uk-UA"/>
              </w:rPr>
              <w:t>І. С. Мартинюк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2C6D7BC3" w14:textId="77777777" w:rsidR="00944B4C" w:rsidRPr="00944B4C" w:rsidRDefault="00944B4C" w:rsidP="00944B4C">
      <w:pPr>
        <w:spacing w:line="264" w:lineRule="auto"/>
        <w:jc w:val="center"/>
        <w:rPr>
          <w:rFonts w:ascii="Times New Roman" w:hAnsi="Times New Roman"/>
          <w:b/>
          <w:sz w:val="28"/>
          <w:szCs w:val="28"/>
          <w:lang w:val="uk-UA"/>
        </w:rPr>
      </w:pPr>
      <w:r w:rsidRPr="00944B4C">
        <w:rPr>
          <w:rFonts w:ascii="Times New Roman" w:hAnsi="Times New Roman"/>
          <w:b/>
          <w:sz w:val="28"/>
          <w:szCs w:val="28"/>
          <w:lang w:val="uk-UA"/>
        </w:rPr>
        <w:t>(код ДК 021:2015-33160000-9 Устаткування для операційних блоків,</w:t>
      </w:r>
    </w:p>
    <w:p w14:paraId="216DF2B4" w14:textId="7F31C57F" w:rsidR="009744EF" w:rsidRPr="001D3AD0" w:rsidRDefault="00944B4C" w:rsidP="00944B4C">
      <w:pPr>
        <w:spacing w:line="264" w:lineRule="auto"/>
        <w:jc w:val="center"/>
        <w:rPr>
          <w:i/>
          <w:sz w:val="16"/>
          <w:szCs w:val="16"/>
          <w:lang w:val="uk-UA"/>
        </w:rPr>
      </w:pPr>
      <w:r w:rsidRPr="00944B4C">
        <w:rPr>
          <w:rFonts w:ascii="Times New Roman" w:hAnsi="Times New Roman"/>
          <w:b/>
          <w:sz w:val="28"/>
          <w:szCs w:val="28"/>
          <w:lang w:val="uk-UA"/>
        </w:rPr>
        <w:t>код НК 024:2019:36628 – Гістероскоп жорсткий)</w:t>
      </w: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5CBF85F1" w:rsidR="009744EF" w:rsidRPr="001D3AD0" w:rsidRDefault="00754AED" w:rsidP="0038592A">
            <w:pPr>
              <w:pStyle w:val="a9"/>
              <w:ind w:right="401"/>
              <w:jc w:val="both"/>
              <w:rPr>
                <w:rFonts w:ascii="Times New Roman" w:hAnsi="Times New Roman"/>
                <w:b/>
                <w:sz w:val="24"/>
                <w:szCs w:val="24"/>
                <w:lang w:val="uk-UA"/>
              </w:rPr>
            </w:pPr>
            <w:r>
              <w:rPr>
                <w:rFonts w:ascii="Times New Roman" w:hAnsi="Times New Roman"/>
                <w:b/>
                <w:sz w:val="24"/>
                <w:szCs w:val="24"/>
                <w:lang w:val="uk-UA"/>
              </w:rPr>
              <w:t>Мартинюк Інна Сергіївна</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77777777" w:rsidR="009744EF" w:rsidRPr="001D3AD0" w:rsidRDefault="009744EF" w:rsidP="0038592A">
            <w:pPr>
              <w:pStyle w:val="a9"/>
              <w:ind w:right="401"/>
              <w:jc w:val="both"/>
              <w:rPr>
                <w:b/>
                <w:lang w:val="uk-UA"/>
              </w:rPr>
            </w:pPr>
            <w:r w:rsidRPr="001D3AD0">
              <w:rPr>
                <w:rFonts w:ascii="Times New Roman" w:hAnsi="Times New Roman"/>
                <w:b/>
                <w:sz w:val="24"/>
                <w:szCs w:val="24"/>
                <w:lang w:val="uk-UA"/>
              </w:rPr>
              <w:t xml:space="preserve">21029, м. Вінниця, Хмельницьке шосе, 84, факс (0432)46-15-18, тел.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38592A">
            <w:pPr>
              <w:tabs>
                <w:tab w:val="left" w:pos="2160"/>
                <w:tab w:val="left" w:pos="3600"/>
              </w:tabs>
              <w:snapToGrid w:val="0"/>
              <w:ind w:right="40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38592A">
            <w:pPr>
              <w:tabs>
                <w:tab w:val="left" w:pos="2160"/>
                <w:tab w:val="left" w:pos="3600"/>
              </w:tabs>
              <w:snapToGrid w:val="0"/>
              <w:ind w:right="40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72A0E" w14:textId="77777777" w:rsidR="00944B4C" w:rsidRPr="00944B4C" w:rsidRDefault="009744EF" w:rsidP="00944B4C">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944B4C" w:rsidRPr="00944B4C">
              <w:rPr>
                <w:rFonts w:ascii="Times New Roman" w:hAnsi="Times New Roman"/>
                <w:b/>
                <w:sz w:val="24"/>
                <w:szCs w:val="24"/>
                <w:lang w:val="uk-UA"/>
              </w:rPr>
              <w:t>ДК 021:2015-33160000-9 Устаткування для операційних блоків,</w:t>
            </w:r>
          </w:p>
          <w:p w14:paraId="1EA029CD" w14:textId="7AC5470E" w:rsidR="009744EF" w:rsidRPr="001D3AD0" w:rsidRDefault="00944B4C" w:rsidP="00944B4C">
            <w:pPr>
              <w:pStyle w:val="a9"/>
              <w:ind w:right="401"/>
              <w:jc w:val="both"/>
              <w:rPr>
                <w:rFonts w:ascii="Times New Roman" w:hAnsi="Times New Roman"/>
                <w:b/>
                <w:sz w:val="24"/>
                <w:szCs w:val="24"/>
                <w:lang w:val="uk-UA"/>
              </w:rPr>
            </w:pPr>
            <w:r w:rsidRPr="00944B4C">
              <w:rPr>
                <w:rFonts w:ascii="Times New Roman" w:hAnsi="Times New Roman"/>
                <w:b/>
                <w:sz w:val="24"/>
                <w:szCs w:val="24"/>
                <w:lang w:val="uk-UA"/>
              </w:rPr>
              <w:t>код НК 024:2019:36628 – Гістероскоп жорсткий</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0ABB4153"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723F80">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w:t>
            </w:r>
            <w:r w:rsidRPr="001D3AD0">
              <w:rPr>
                <w:lang w:val="uk-UA"/>
              </w:rPr>
              <w:lastRenderedPageBreak/>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1D3AD0">
              <w:rPr>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кінцевого(их) бенефіціарного(их) власника(ів)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4263BAFF"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D7441" w:rsidRPr="001D3AD0">
                    <w:rPr>
                      <w:rFonts w:ascii="Times New Roman" w:hAnsi="Times New Roman" w:cs="Times New Roman"/>
                      <w:sz w:val="24"/>
                      <w:szCs w:val="24"/>
                      <w:lang w:val="uk-UA"/>
                    </w:rPr>
                    <w:t>1</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1D3AD0">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Pr="001D3AD0">
              <w:rPr>
                <w:rFonts w:ascii="Times New Roman" w:hAnsi="Times New Roman"/>
                <w:sz w:val="24"/>
                <w:szCs w:val="24"/>
                <w:lang w:val="uk-UA"/>
              </w:rPr>
              <w:lastRenderedPageBreak/>
              <w:t>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r w:rsidRPr="001D3AD0">
                <w:t>individual</w:t>
              </w:r>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трьохмісячної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AC1D980" w14:textId="102B551F" w:rsidR="00B05AA1" w:rsidRDefault="009744EF" w:rsidP="00DC02D4">
            <w:pPr>
              <w:ind w:right="401"/>
              <w:jc w:val="both"/>
              <w:rPr>
                <w:rFonts w:ascii="Times New Roman" w:hAnsi="Times New Roman" w:cs="Times New Roman"/>
                <w:b/>
                <w:lang w:val="uk-UA"/>
              </w:rPr>
            </w:pPr>
            <w:r w:rsidRPr="001D3AD0">
              <w:rPr>
                <w:rFonts w:ascii="Times New Roman" w:hAnsi="Times New Roman" w:cs="Times New Roman"/>
                <w:lang w:val="uk-UA"/>
              </w:rPr>
              <w:t xml:space="preserve">3.6.1. Предмет закупівлі </w:t>
            </w:r>
            <w:r w:rsidRPr="001D3AD0">
              <w:rPr>
                <w:bCs/>
                <w:lang w:val="uk-UA"/>
              </w:rPr>
              <w:t>«</w:t>
            </w:r>
            <w:r w:rsidRPr="001D3AD0">
              <w:rPr>
                <w:rFonts w:ascii="Times New Roman" w:hAnsi="Times New Roman"/>
                <w:b/>
                <w:lang w:val="uk-UA"/>
              </w:rPr>
              <w:t>ко</w:t>
            </w:r>
            <w:r w:rsidRPr="001D3AD0">
              <w:rPr>
                <w:rFonts w:ascii="Times New Roman" w:hAnsi="Times New Roman" w:cs="Times New Roman"/>
                <w:b/>
                <w:lang w:val="uk-UA"/>
              </w:rPr>
              <w:t xml:space="preserve">д Основного словника національного класифікатора України </w:t>
            </w:r>
            <w:r w:rsidR="007B7B35" w:rsidRPr="001D3AD0">
              <w:rPr>
                <w:rFonts w:ascii="Times New Roman" w:hAnsi="Times New Roman" w:cs="Times New Roman"/>
                <w:b/>
                <w:lang w:val="uk-UA"/>
              </w:rPr>
              <w:t xml:space="preserve">України </w:t>
            </w:r>
            <w:r w:rsidR="00DC02D4" w:rsidRPr="00DC02D4">
              <w:rPr>
                <w:rFonts w:ascii="Times New Roman" w:hAnsi="Times New Roman" w:cs="Times New Roman"/>
                <w:b/>
                <w:lang w:val="uk-UA"/>
              </w:rPr>
              <w:t>ДК 021:2015-33160000-9 Устаткування для операційних блоків,</w:t>
            </w:r>
            <w:r w:rsidR="00DC02D4">
              <w:rPr>
                <w:rFonts w:ascii="Times New Roman" w:hAnsi="Times New Roman" w:cs="Times New Roman"/>
                <w:b/>
                <w:lang w:val="uk-UA"/>
              </w:rPr>
              <w:t xml:space="preserve"> </w:t>
            </w:r>
            <w:r w:rsidR="00DC02D4" w:rsidRPr="00DC02D4">
              <w:rPr>
                <w:rFonts w:ascii="Times New Roman" w:hAnsi="Times New Roman" w:cs="Times New Roman"/>
                <w:b/>
                <w:lang w:val="uk-UA"/>
              </w:rPr>
              <w:t>код НК 024:2019:36628 – Гістероскоп жорсткий</w:t>
            </w:r>
          </w:p>
          <w:p w14:paraId="6B30F5D8" w14:textId="56796919"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214D355C" w:rsidR="009744EF" w:rsidRPr="001D3AD0" w:rsidRDefault="009744EF" w:rsidP="0038592A">
            <w:pPr>
              <w:pStyle w:val="a6"/>
              <w:spacing w:before="0" w:after="0" w:line="264" w:lineRule="auto"/>
              <w:ind w:right="401"/>
              <w:jc w:val="both"/>
              <w:rPr>
                <w:lang w:val="uk-UA"/>
              </w:rPr>
            </w:pPr>
            <w:r w:rsidRPr="001D3AD0">
              <w:rPr>
                <w:b/>
                <w:lang w:val="uk-UA"/>
              </w:rPr>
              <w:t>Дата - «</w:t>
            </w:r>
            <w:r w:rsidR="00763764">
              <w:rPr>
                <w:b/>
                <w:lang w:val="uk-UA"/>
              </w:rPr>
              <w:t>12</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lastRenderedPageBreak/>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25761EF0" w:rsidR="009744EF" w:rsidRPr="001D3AD0" w:rsidRDefault="009744EF" w:rsidP="00B05AA1">
            <w:pPr>
              <w:ind w:right="401"/>
              <w:jc w:val="center"/>
              <w:rPr>
                <w:rFonts w:ascii="Times New Roman" w:hAnsi="Times New Roman" w:cs="Times New Roman"/>
                <w:lang w:val="uk-UA" w:eastAsia="uk-UA"/>
              </w:rPr>
            </w:pPr>
            <w:r w:rsidRPr="001D3AD0">
              <w:rPr>
                <w:rFonts w:ascii="Times New Roman" w:hAnsi="Times New Roman" w:cs="Times New Roman"/>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w:t>
            </w:r>
            <w:r w:rsidRPr="001D3AD0">
              <w:rPr>
                <w:rFonts w:ascii="Times New Roman" w:hAnsi="Times New Roman" w:cs="Times New Roman"/>
                <w:lang w:val="uk-UA" w:eastAsia="uk-UA"/>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1D3AD0">
              <w:rPr>
                <w:rFonts w:ascii="Times New Roman" w:hAnsi="Times New Roman" w:cs="Times New Roman"/>
                <w:lang w:val="uk-UA"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w:t>
            </w:r>
            <w:r w:rsidRPr="001D3AD0">
              <w:rPr>
                <w:rFonts w:ascii="Times New Roman" w:hAnsi="Times New Roman" w:cs="Times New Roman"/>
                <w:lang w:val="uk-UA"/>
              </w:rPr>
              <w:lastRenderedPageBreak/>
              <w:t>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1D3AD0">
                <w:rPr>
                  <w:lang w:val="uz-Latn-UZ"/>
                </w:rPr>
                <w:t>абзацом другим</w:t>
              </w:r>
            </w:hyperlink>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1D3AD0">
                <w:rPr>
                  <w:lang w:val="uz-Latn-UZ"/>
                </w:rPr>
                <w:t>№ 1178</w:t>
              </w:r>
            </w:hyperlink>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1D3AD0">
              <w:rPr>
                <w:shd w:val="clear" w:color="auto" w:fill="FFFFFF"/>
                <w:lang w:val="uz-Latn-UZ"/>
              </w:rPr>
              <w:lastRenderedPageBreak/>
              <w:t>відповідно до </w:t>
            </w:r>
            <w:hyperlink r:id="rId14" w:anchor="n131" w:history="1">
              <w:r w:rsidRPr="001D3AD0">
                <w:rPr>
                  <w:lang w:val="uz-Latn-UZ"/>
                </w:rPr>
                <w:t>пункту 4</w:t>
              </w:r>
              <w:r w:rsidR="00FC211C" w:rsidRPr="001D3AD0">
                <w:rPr>
                  <w:lang w:val="uk-UA"/>
                </w:rPr>
                <w:t>3</w:t>
              </w:r>
            </w:hyperlink>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5"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6"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1D3AD0">
                <w:rPr>
                  <w:rFonts w:ascii="Times New Roman" w:hAnsi="Times New Roman" w:cs="Times New Roman"/>
                </w:rPr>
                <w:t>абзацом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r w:rsidRPr="001D3AD0">
              <w:rPr>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1D3AD0">
              <w:rPr>
                <w:shd w:val="clear" w:color="auto" w:fill="FFFFFF"/>
              </w:rPr>
              <w:t> </w:t>
            </w:r>
            <w:hyperlink r:id="rId18"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використання слова або мовного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1D3AD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«м.київ» замість «м.Київ»;</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-ок» замість «поря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«ненадається»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«pdf» (PortableDocumentFormat)».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D3AD0">
              <w:rPr>
                <w:rFonts w:cs="Times New Roman CYR"/>
                <w:shd w:val="clear" w:color="auto" w:fill="FFFFFF"/>
                <w:lang w:val="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lastRenderedPageBreak/>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w:t>
            </w:r>
            <w:r w:rsidRPr="001D3AD0">
              <w:rPr>
                <w:i/>
                <w:shd w:val="clear" w:color="auto" w:fill="FFFFFF"/>
                <w:lang w:val="uk-UA"/>
              </w:rPr>
              <w:lastRenderedPageBreak/>
              <w:t>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3AD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lastRenderedPageBreak/>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1749A7"/>
    <w:rsid w:val="001D3AD0"/>
    <w:rsid w:val="00207DA7"/>
    <w:rsid w:val="002A3902"/>
    <w:rsid w:val="002B6032"/>
    <w:rsid w:val="002D3D22"/>
    <w:rsid w:val="00324583"/>
    <w:rsid w:val="0038592A"/>
    <w:rsid w:val="003D7441"/>
    <w:rsid w:val="00420DD3"/>
    <w:rsid w:val="0048303E"/>
    <w:rsid w:val="0049471C"/>
    <w:rsid w:val="004A037B"/>
    <w:rsid w:val="005725B2"/>
    <w:rsid w:val="00723F80"/>
    <w:rsid w:val="00754AED"/>
    <w:rsid w:val="00763124"/>
    <w:rsid w:val="00763764"/>
    <w:rsid w:val="007A63B5"/>
    <w:rsid w:val="007B7B35"/>
    <w:rsid w:val="008418CE"/>
    <w:rsid w:val="00883785"/>
    <w:rsid w:val="008936AB"/>
    <w:rsid w:val="00944B4C"/>
    <w:rsid w:val="009744EF"/>
    <w:rsid w:val="009C219F"/>
    <w:rsid w:val="00A30977"/>
    <w:rsid w:val="00B05AA1"/>
    <w:rsid w:val="00B2275A"/>
    <w:rsid w:val="00B84A30"/>
    <w:rsid w:val="00C837C9"/>
    <w:rsid w:val="00DA1052"/>
    <w:rsid w:val="00DC02D4"/>
    <w:rsid w:val="00EA5B3A"/>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48112</Words>
  <Characters>27424</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4</cp:revision>
  <cp:lastPrinted>2023-05-15T13:04:00Z</cp:lastPrinted>
  <dcterms:created xsi:type="dcterms:W3CDTF">2023-05-29T06:45:00Z</dcterms:created>
  <dcterms:modified xsi:type="dcterms:W3CDTF">2023-06-02T08:17:00Z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