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A83C" w14:textId="77777777" w:rsidR="00FC1204" w:rsidRPr="004770CC" w:rsidRDefault="00FC1204" w:rsidP="00FC120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4770CC">
        <w:rPr>
          <w:rFonts w:ascii="Times New Roman" w:hAnsi="Times New Roman" w:cs="Times New Roman"/>
          <w:b/>
          <w:sz w:val="36"/>
          <w:szCs w:val="36"/>
          <w:lang w:val="uk-UA"/>
        </w:rPr>
        <w:t>Комунальне підприємство «Міськводоканал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4770C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Баштанської міської ради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Баштанського району Миколаївської області </w:t>
      </w:r>
    </w:p>
    <w:p w14:paraId="2DB4D9B8" w14:textId="77777777" w:rsidR="00FC1204" w:rsidRPr="0013669F" w:rsidRDefault="00FC1204" w:rsidP="00FC1204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0E112C1B" w14:textId="77777777" w:rsidR="00FC1204" w:rsidRPr="0013669F" w:rsidRDefault="00FC1204" w:rsidP="00FC1204">
      <w:pPr>
        <w:spacing w:after="0"/>
        <w:jc w:val="center"/>
        <w:rPr>
          <w:b/>
          <w:bCs/>
          <w:sz w:val="38"/>
          <w:szCs w:val="38"/>
        </w:rPr>
      </w:pP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820"/>
      </w:tblGrid>
      <w:tr w:rsidR="00FC1204" w:rsidRPr="0013669F" w14:paraId="3937019F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D5CD7E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3931C3" w14:textId="77777777" w:rsidR="00FC1204" w:rsidRPr="0013669F" w:rsidRDefault="00FC1204" w:rsidP="00E91479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C1204" w:rsidRPr="0013669F" w14:paraId="02343700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460D4D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7902F6" w14:textId="77777777" w:rsidR="00FC1204" w:rsidRPr="00CD543F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«Затверджено»</w:t>
            </w:r>
          </w:p>
          <w:p w14:paraId="2D7375DA" w14:textId="77777777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Рішенням Уповноваженої особи </w:t>
            </w:r>
          </w:p>
          <w:p w14:paraId="417D07E8" w14:textId="12DF855F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№ 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.03.2024</w:t>
            </w:r>
            <w:r w:rsidRPr="00E94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року</w:t>
            </w:r>
          </w:p>
          <w:p w14:paraId="74A535B5" w14:textId="77777777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010A4636" w14:textId="77777777" w:rsidR="00FC1204" w:rsidRPr="00FD6CB9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Сук Л.О.</w:t>
            </w:r>
          </w:p>
        </w:tc>
      </w:tr>
      <w:tr w:rsidR="00FC1204" w:rsidRPr="0013669F" w14:paraId="01F5788B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2EA304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308F48" w14:textId="77777777" w:rsidR="00FC1204" w:rsidRPr="0013669F" w:rsidRDefault="00FC1204" w:rsidP="00E91479">
            <w:pPr>
              <w:spacing w:after="0"/>
              <w:rPr>
                <w:bCs/>
                <w:sz w:val="24"/>
                <w:szCs w:val="24"/>
              </w:rPr>
            </w:pPr>
            <w:r w:rsidRPr="00CD40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1204" w:rsidRPr="0013669F" w14:paraId="29702320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1E0AE1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894398A" w14:textId="77777777" w:rsidR="00FC1204" w:rsidRPr="0013669F" w:rsidRDefault="00FC1204" w:rsidP="00E91479">
            <w:pPr>
              <w:spacing w:after="0"/>
              <w:rPr>
                <w:bCs/>
                <w:sz w:val="24"/>
                <w:szCs w:val="24"/>
              </w:rPr>
            </w:pPr>
            <w:r w:rsidRPr="0013669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C1204" w:rsidRPr="007C1AF7" w14:paraId="225C06C2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003ABF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DA8D19" w14:textId="77777777" w:rsidR="00FC1204" w:rsidRPr="0013669F" w:rsidRDefault="00FC1204" w:rsidP="00E91479">
            <w:pPr>
              <w:spacing w:beforeAutospacing="1" w:after="0" w:afterAutospacing="1"/>
              <w:jc w:val="both"/>
              <w:rPr>
                <w:bCs/>
                <w:sz w:val="24"/>
                <w:szCs w:val="24"/>
              </w:rPr>
            </w:pPr>
          </w:p>
          <w:p w14:paraId="5063DE82" w14:textId="77777777" w:rsidR="00FC1204" w:rsidRPr="0013669F" w:rsidRDefault="00FC1204" w:rsidP="00E91479">
            <w:pPr>
              <w:spacing w:after="0"/>
              <w:rPr>
                <w:sz w:val="24"/>
                <w:szCs w:val="28"/>
              </w:rPr>
            </w:pPr>
            <w:r w:rsidRPr="0013669F">
              <w:rPr>
                <w:sz w:val="24"/>
                <w:szCs w:val="28"/>
              </w:rPr>
              <w:t xml:space="preserve">                   </w:t>
            </w:r>
          </w:p>
        </w:tc>
      </w:tr>
    </w:tbl>
    <w:p w14:paraId="3F7BF8AC" w14:textId="77777777" w:rsidR="00FC1204" w:rsidRPr="0013669F" w:rsidRDefault="00FC1204" w:rsidP="00FC1204">
      <w:pPr>
        <w:spacing w:after="0"/>
        <w:ind w:left="32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FC1204" w:rsidRPr="0013669F" w14:paraId="4DE6B0AF" w14:textId="77777777" w:rsidTr="00E91479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11FFC12B" w14:textId="77777777" w:rsidR="00FC1204" w:rsidRPr="0013669F" w:rsidRDefault="00FC1204" w:rsidP="00E91479">
            <w:pPr>
              <w:spacing w:after="0"/>
              <w:ind w:right="-2"/>
              <w:rPr>
                <w:b/>
                <w:bCs/>
                <w:sz w:val="40"/>
                <w:szCs w:val="40"/>
              </w:rPr>
            </w:pPr>
            <w:r w:rsidRPr="0013669F">
              <w:rPr>
                <w:b/>
                <w:bCs/>
                <w:sz w:val="40"/>
                <w:szCs w:val="40"/>
              </w:rPr>
              <w:t xml:space="preserve">                  </w:t>
            </w:r>
          </w:p>
          <w:p w14:paraId="1BA24A91" w14:textId="77777777" w:rsidR="00FC1204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  <w:r w:rsidRPr="0013669F">
              <w:rPr>
                <w:b/>
                <w:bCs/>
                <w:sz w:val="40"/>
                <w:szCs w:val="40"/>
              </w:rPr>
              <w:t>ТЕНДЕРНА ДОКУМЕНТАЦІЯ</w:t>
            </w:r>
          </w:p>
          <w:p w14:paraId="3C135C24" w14:textId="77777777" w:rsidR="00FC1204" w:rsidRPr="00B00AAB" w:rsidRDefault="00FC1204" w:rsidP="00E91479">
            <w:pPr>
              <w:jc w:val="center"/>
              <w:rPr>
                <w:b/>
                <w:sz w:val="40"/>
              </w:rPr>
            </w:pPr>
            <w:r w:rsidRPr="00B00AAB">
              <w:rPr>
                <w:b/>
                <w:sz w:val="40"/>
              </w:rPr>
              <w:t>на закупівлю товару:</w:t>
            </w:r>
          </w:p>
          <w:p w14:paraId="4DC2A526" w14:textId="77777777" w:rsidR="00FC1204" w:rsidRPr="00EE26BB" w:rsidRDefault="00FC1204" w:rsidP="00E91479">
            <w:pPr>
              <w:shd w:val="clear" w:color="auto" w:fill="FFFFFA"/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EE26BB">
              <w:rPr>
                <w:b/>
                <w:sz w:val="36"/>
                <w:szCs w:val="36"/>
              </w:rPr>
              <w:t>Гіпохлорит</w:t>
            </w:r>
            <w:proofErr w:type="spellEnd"/>
            <w:r w:rsidRPr="00EE26BB">
              <w:rPr>
                <w:b/>
                <w:sz w:val="36"/>
                <w:szCs w:val="36"/>
              </w:rPr>
              <w:t xml:space="preserve"> натрію </w:t>
            </w:r>
          </w:p>
          <w:p w14:paraId="3F467500" w14:textId="77777777" w:rsidR="00FC1204" w:rsidRPr="00EE26BB" w:rsidRDefault="00FC1204" w:rsidP="00E91479">
            <w:pPr>
              <w:shd w:val="clear" w:color="auto" w:fill="FFFFFA"/>
              <w:spacing w:after="0"/>
              <w:jc w:val="center"/>
              <w:rPr>
                <w:b/>
                <w:sz w:val="36"/>
                <w:szCs w:val="36"/>
              </w:rPr>
            </w:pPr>
            <w:r w:rsidRPr="00EE26BB">
              <w:rPr>
                <w:b/>
                <w:sz w:val="36"/>
                <w:szCs w:val="36"/>
              </w:rPr>
              <w:t>за кодом ДК 021:2015- 24310000-0 – Основні неорганічні хімічні речовини</w:t>
            </w:r>
          </w:p>
          <w:p w14:paraId="0D0364CF" w14:textId="77777777" w:rsidR="00FC1204" w:rsidRPr="00EE26BB" w:rsidRDefault="00FC1204" w:rsidP="00E91479">
            <w:pPr>
              <w:spacing w:after="0"/>
              <w:ind w:right="-2"/>
              <w:jc w:val="center"/>
              <w:rPr>
                <w:sz w:val="36"/>
                <w:szCs w:val="36"/>
              </w:rPr>
            </w:pPr>
          </w:p>
          <w:p w14:paraId="563F0A93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sz w:val="32"/>
                <w:szCs w:val="32"/>
              </w:rPr>
            </w:pPr>
            <w:r w:rsidRPr="0013669F">
              <w:rPr>
                <w:sz w:val="32"/>
                <w:szCs w:val="32"/>
              </w:rPr>
              <w:t>за процедурою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47"/>
            </w:tblGrid>
            <w:tr w:rsidR="00FC1204" w:rsidRPr="0013669F" w14:paraId="6010A4C4" w14:textId="77777777" w:rsidTr="00E91479">
              <w:tc>
                <w:tcPr>
                  <w:tcW w:w="9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9E24" w14:textId="77777777" w:rsidR="00FC1204" w:rsidRPr="0013669F" w:rsidRDefault="00FC1204" w:rsidP="00E91479">
                  <w:pPr>
                    <w:spacing w:after="0"/>
                    <w:ind w:right="-2"/>
                    <w:jc w:val="center"/>
                    <w:rPr>
                      <w:bCs/>
                      <w:sz w:val="36"/>
                      <w:szCs w:val="36"/>
                    </w:rPr>
                  </w:pPr>
                  <w:r>
                    <w:rPr>
                      <w:bCs/>
                      <w:sz w:val="36"/>
                      <w:szCs w:val="36"/>
                    </w:rPr>
                    <w:t>Відкриті торги з особливостями</w:t>
                  </w:r>
                </w:p>
              </w:tc>
            </w:tr>
          </w:tbl>
          <w:p w14:paraId="798DDD4C" w14:textId="77777777" w:rsidR="00FC1204" w:rsidRPr="003E7252" w:rsidRDefault="00FC1204" w:rsidP="00E91479">
            <w:pPr>
              <w:jc w:val="center"/>
              <w:rPr>
                <w:b/>
                <w:sz w:val="40"/>
              </w:rPr>
            </w:pPr>
          </w:p>
          <w:p w14:paraId="526FB49A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</w:p>
          <w:p w14:paraId="22706BDD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6151AA5" w14:textId="77777777" w:rsidR="00FC1204" w:rsidRPr="0013669F" w:rsidRDefault="00FC1204" w:rsidP="00FC1204">
      <w:pPr>
        <w:widowControl w:val="0"/>
        <w:autoSpaceDE w:val="0"/>
        <w:spacing w:after="0"/>
        <w:rPr>
          <w:sz w:val="32"/>
          <w:szCs w:val="32"/>
        </w:rPr>
      </w:pPr>
      <w:r w:rsidRPr="0013669F">
        <w:rPr>
          <w:b/>
          <w:sz w:val="36"/>
          <w:szCs w:val="36"/>
          <w:lang w:eastAsia="ar-SA"/>
        </w:rPr>
        <w:t xml:space="preserve">                                                                                                                 </w:t>
      </w: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FC1204" w:rsidRPr="0013669F" w14:paraId="6733B734" w14:textId="77777777" w:rsidTr="00E91479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12ABE317" w14:textId="77777777" w:rsidR="00FC1204" w:rsidRPr="0013669F" w:rsidRDefault="00FC1204" w:rsidP="00E91479">
            <w:pPr>
              <w:rPr>
                <w:bCs/>
                <w:sz w:val="32"/>
                <w:szCs w:val="32"/>
              </w:rPr>
            </w:pPr>
          </w:p>
        </w:tc>
      </w:tr>
    </w:tbl>
    <w:p w14:paraId="46083B87" w14:textId="77777777" w:rsidR="00FC1204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44E08AA0" w14:textId="77777777" w:rsidR="00FC1204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7532FB22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3FD92D7B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09B29157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  <w:r w:rsidRPr="0013669F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Баштанка</w:t>
      </w:r>
      <w:r w:rsidRPr="0013669F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13669F">
        <w:rPr>
          <w:b/>
          <w:bCs/>
          <w:sz w:val="28"/>
          <w:szCs w:val="28"/>
        </w:rPr>
        <w:t>р.</w:t>
      </w:r>
    </w:p>
    <w:p w14:paraId="227E7F4A" w14:textId="77777777" w:rsidR="00FC1204" w:rsidRDefault="00FC1204" w:rsidP="00FC1204">
      <w:pPr>
        <w:spacing w:after="0"/>
        <w:rPr>
          <w:sz w:val="24"/>
          <w:szCs w:val="24"/>
        </w:rPr>
      </w:pPr>
    </w:p>
    <w:p w14:paraId="69E5F4B3" w14:textId="77777777" w:rsidR="00FC1204" w:rsidRDefault="00FC1204" w:rsidP="00FC1204">
      <w:pPr>
        <w:spacing w:after="0"/>
        <w:rPr>
          <w:sz w:val="24"/>
          <w:szCs w:val="24"/>
        </w:rPr>
      </w:pPr>
    </w:p>
    <w:p w14:paraId="3D089AD8" w14:textId="77777777" w:rsidR="00FC1204" w:rsidRPr="00FC1204" w:rsidRDefault="00FC1204" w:rsidP="00FC1204">
      <w:pPr>
        <w:spacing w:after="0"/>
        <w:ind w:firstLine="567"/>
        <w:jc w:val="both"/>
        <w:rPr>
          <w:b/>
          <w:sz w:val="24"/>
          <w:szCs w:val="24"/>
        </w:rPr>
      </w:pPr>
      <w:r w:rsidRPr="00FC1204">
        <w:rPr>
          <w:b/>
          <w:sz w:val="24"/>
          <w:szCs w:val="24"/>
        </w:rPr>
        <w:lastRenderedPageBreak/>
        <w:t xml:space="preserve">Було </w:t>
      </w:r>
      <w:proofErr w:type="spellStart"/>
      <w:r w:rsidRPr="00FC1204">
        <w:rPr>
          <w:b/>
          <w:sz w:val="24"/>
          <w:szCs w:val="24"/>
        </w:rPr>
        <w:t>внесено</w:t>
      </w:r>
      <w:proofErr w:type="spellEnd"/>
      <w:r w:rsidRPr="00FC1204">
        <w:rPr>
          <w:b/>
          <w:sz w:val="24"/>
          <w:szCs w:val="24"/>
        </w:rPr>
        <w:t xml:space="preserve"> зміни до Додатку №2 «Технічні вимоги»  та Додатку 3 «</w:t>
      </w:r>
      <w:proofErr w:type="spellStart"/>
      <w:r w:rsidRPr="00FC1204">
        <w:rPr>
          <w:b/>
          <w:sz w:val="24"/>
          <w:szCs w:val="24"/>
        </w:rPr>
        <w:t>Проєкт</w:t>
      </w:r>
      <w:proofErr w:type="spellEnd"/>
      <w:r w:rsidRPr="00FC1204">
        <w:rPr>
          <w:b/>
          <w:sz w:val="24"/>
          <w:szCs w:val="24"/>
        </w:rPr>
        <w:t xml:space="preserve"> договору» до Тендерної документації та видалено</w:t>
      </w:r>
    </w:p>
    <w:p w14:paraId="0E2919AD" w14:textId="77777777" w:rsidR="00FC1204" w:rsidRPr="00BA3694" w:rsidRDefault="00FC1204" w:rsidP="00FC1204">
      <w:pPr>
        <w:spacing w:after="0"/>
        <w:ind w:firstLine="567"/>
        <w:jc w:val="both"/>
        <w:rPr>
          <w:i/>
          <w:iCs/>
          <w:spacing w:val="-8"/>
          <w:kern w:val="3"/>
          <w:sz w:val="24"/>
          <w:szCs w:val="24"/>
          <w:lang w:eastAsia="zh-CN"/>
        </w:rPr>
      </w:pPr>
      <w:r w:rsidRPr="00BA3694">
        <w:rPr>
          <w:i/>
          <w:iCs/>
          <w:spacing w:val="-8"/>
          <w:kern w:val="3"/>
          <w:sz w:val="24"/>
          <w:szCs w:val="24"/>
          <w:lang w:eastAsia="zh-CN"/>
        </w:rPr>
        <w:t xml:space="preserve">«На підтвердження можливості проведення аналізів виробником товару, Постачальник під час укладання Договору повинен надати свідоцтво про технічну компетентність хімічної лабораторії виробника продукції, що видана у встановленому порядку (сфера акредитації – </w:t>
      </w:r>
      <w:proofErr w:type="spellStart"/>
      <w:r w:rsidRPr="00BA3694">
        <w:rPr>
          <w:i/>
          <w:iCs/>
          <w:spacing w:val="-8"/>
          <w:kern w:val="3"/>
          <w:sz w:val="24"/>
          <w:szCs w:val="24"/>
          <w:lang w:eastAsia="zh-CN"/>
        </w:rPr>
        <w:t>Гіпохлорит</w:t>
      </w:r>
      <w:proofErr w:type="spellEnd"/>
      <w:r w:rsidRPr="00BA3694">
        <w:rPr>
          <w:i/>
          <w:iCs/>
          <w:spacing w:val="-8"/>
          <w:kern w:val="3"/>
          <w:sz w:val="24"/>
          <w:szCs w:val="24"/>
          <w:lang w:eastAsia="zh-CN"/>
        </w:rPr>
        <w:t xml:space="preserve"> натрію) відповідно до ДСТУ ISO 10012:2005 «Системи керування вимірюванням. Вимоги до процесів вимірювання та вимірювального обладнання». У разі ненадання відповідного документу, Покупець не укладає Договір з таким Постачальником». </w:t>
      </w:r>
    </w:p>
    <w:p w14:paraId="2D46987D" w14:textId="77777777" w:rsidR="00F12C76" w:rsidRDefault="00F12C76" w:rsidP="006C0B77">
      <w:pPr>
        <w:spacing w:after="0"/>
        <w:ind w:firstLine="709"/>
        <w:jc w:val="both"/>
      </w:pPr>
    </w:p>
    <w:sectPr w:rsidR="00F12C76" w:rsidSect="00873E4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4"/>
    <w:rsid w:val="006C0B77"/>
    <w:rsid w:val="008242FF"/>
    <w:rsid w:val="00870751"/>
    <w:rsid w:val="00873E47"/>
    <w:rsid w:val="00922C48"/>
    <w:rsid w:val="00B915B7"/>
    <w:rsid w:val="00EA59DF"/>
    <w:rsid w:val="00EE4070"/>
    <w:rsid w:val="00F12C76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8C92"/>
  <w15:chartTrackingRefBased/>
  <w15:docId w15:val="{42B3E0F1-0806-415F-99E2-4573F5FE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04"/>
    <w:pPr>
      <w:spacing w:after="20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C1204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2024-03-28T19:44:00Z</dcterms:created>
  <dcterms:modified xsi:type="dcterms:W3CDTF">2024-03-28T19:46:00Z</dcterms:modified>
</cp:coreProperties>
</file>