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EF" w:rsidRPr="001E2478" w:rsidRDefault="00A76EEF" w:rsidP="00A76EEF">
      <w:pPr>
        <w:jc w:val="right"/>
        <w:rPr>
          <w:rFonts w:eastAsia="Times New Roman CYR"/>
        </w:rPr>
      </w:pPr>
      <w:r w:rsidRPr="001E2478">
        <w:rPr>
          <w:rFonts w:eastAsia="Times New Roman CYR"/>
        </w:rPr>
        <w:t>Додаток 1</w:t>
      </w:r>
    </w:p>
    <w:p w:rsidR="00A76EEF" w:rsidRPr="001E2478" w:rsidRDefault="00A76EEF" w:rsidP="00A76EEF"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  <w:r w:rsidRPr="001E2478">
        <w:rPr>
          <w:b/>
          <w:bCs/>
        </w:rPr>
        <w:tab/>
      </w:r>
    </w:p>
    <w:p w:rsidR="00A76EEF" w:rsidRPr="001E2478" w:rsidRDefault="00A76EEF" w:rsidP="00A76EEF">
      <w:pPr>
        <w:jc w:val="center"/>
        <w:rPr>
          <w:rStyle w:val="24"/>
          <w:iCs/>
        </w:rPr>
      </w:pPr>
      <w:r w:rsidRPr="001E2478">
        <w:rPr>
          <w:rStyle w:val="24"/>
          <w:b/>
          <w:bCs/>
          <w:iCs/>
          <w:u w:val="single"/>
        </w:rPr>
        <w:t>Технічні та інші вимоги до предмета закупівлі</w:t>
      </w:r>
    </w:p>
    <w:p w:rsidR="00A76EEF" w:rsidRPr="001E2478" w:rsidRDefault="00A76EEF" w:rsidP="00A76EEF">
      <w:pPr>
        <w:jc w:val="center"/>
      </w:pPr>
    </w:p>
    <w:p w:rsidR="00A76EEF" w:rsidRPr="001E2478" w:rsidRDefault="00A76EEF" w:rsidP="00A76EEF">
      <w:pPr>
        <w:pStyle w:val="Default"/>
        <w:ind w:firstLine="567"/>
        <w:jc w:val="both"/>
        <w:rPr>
          <w:rFonts w:eastAsia="Calibri"/>
          <w:b/>
          <w:color w:val="auto"/>
        </w:rPr>
      </w:pPr>
      <w:r w:rsidRPr="001E2478">
        <w:rPr>
          <w:color w:val="auto"/>
        </w:rPr>
        <w:t xml:space="preserve">На </w:t>
      </w:r>
      <w:proofErr w:type="spellStart"/>
      <w:r w:rsidRPr="001E2478">
        <w:rPr>
          <w:b/>
          <w:color w:val="auto"/>
        </w:rPr>
        <w:t>ДК</w:t>
      </w:r>
      <w:proofErr w:type="spellEnd"/>
      <w:r w:rsidRPr="001E2478">
        <w:rPr>
          <w:b/>
          <w:color w:val="auto"/>
        </w:rPr>
        <w:t xml:space="preserve"> 021:2015 39140000-5: Меблі для дому</w:t>
      </w:r>
      <w:r w:rsidRPr="001E2478">
        <w:rPr>
          <w:rFonts w:eastAsia="Calibri"/>
          <w:b/>
          <w:color w:val="auto"/>
        </w:rPr>
        <w:t xml:space="preserve"> (</w:t>
      </w:r>
      <w:r>
        <w:rPr>
          <w:rFonts w:eastAsia="Calibri"/>
          <w:b/>
          <w:color w:val="auto"/>
        </w:rPr>
        <w:t>Ліжка та матраци</w:t>
      </w:r>
      <w:r w:rsidRPr="001E2478">
        <w:rPr>
          <w:rFonts w:eastAsia="Calibri"/>
          <w:b/>
          <w:color w:val="auto"/>
        </w:rPr>
        <w:t>)</w:t>
      </w:r>
    </w:p>
    <w:p w:rsidR="00A76EEF" w:rsidRPr="00755C23" w:rsidRDefault="00A76EEF" w:rsidP="00A76EEF">
      <w:pPr>
        <w:pStyle w:val="25"/>
        <w:spacing w:after="0" w:line="240" w:lineRule="auto"/>
        <w:ind w:left="0" w:firstLine="567"/>
        <w:jc w:val="both"/>
      </w:pPr>
      <w:r w:rsidRPr="00755C23">
        <w:t>У разі, якщо в цих Технічних вимогах містяться посилання на конкретні торговельну марку чи фірму, патент, конструкцію або тип предмета закупівлі, джерело його поход</w:t>
      </w:r>
      <w:r w:rsidRPr="00755C23">
        <w:softHyphen/>
        <w:t>ження або виробника, то слід автоматично додавати вираз "або еквівалент".</w:t>
      </w:r>
    </w:p>
    <w:p w:rsidR="00A76EEF" w:rsidRDefault="00A76EEF" w:rsidP="00A76EEF">
      <w:pPr>
        <w:ind w:firstLine="709"/>
        <w:contextualSpacing/>
        <w:jc w:val="both"/>
        <w:rPr>
          <w:lang w:eastAsia="ru-RU"/>
        </w:rPr>
      </w:pPr>
      <w:r w:rsidRPr="00755C23">
        <w:t>Меблі для дому</w:t>
      </w:r>
      <w:r w:rsidRPr="00755C23">
        <w:rPr>
          <w:bCs/>
        </w:rPr>
        <w:t xml:space="preserve"> (Далі – </w:t>
      </w:r>
      <w:r>
        <w:t>Товар) повинні</w:t>
      </w:r>
      <w:r w:rsidRPr="00755C23">
        <w:t xml:space="preserve"> бути новим</w:t>
      </w:r>
      <w:r>
        <w:t>и</w:t>
      </w:r>
      <w:r w:rsidRPr="00755C23">
        <w:t xml:space="preserve">, в оригінальній упаковці виробника. </w:t>
      </w:r>
      <w:r w:rsidRPr="00755C23">
        <w:rPr>
          <w:lang w:eastAsia="ru-RU"/>
        </w:rPr>
        <w:t xml:space="preserve">Товар, що поставляється, повинен бути таким, що раніше не використовувався, не повинен мати дефектів, пов'язаних з конструкцією, матеріалами, придатним для використання за прямим призначенням. </w:t>
      </w:r>
    </w:p>
    <w:p w:rsidR="00A76EEF" w:rsidRDefault="00A76EEF" w:rsidP="00A76EEF">
      <w:pPr>
        <w:ind w:firstLine="709"/>
        <w:contextualSpacing/>
        <w:jc w:val="both"/>
        <w:rPr>
          <w:lang w:eastAsia="ru-RU"/>
        </w:rPr>
      </w:pPr>
    </w:p>
    <w:tbl>
      <w:tblPr>
        <w:tblStyle w:val="af4"/>
        <w:tblW w:w="9541" w:type="dxa"/>
        <w:tblInd w:w="108" w:type="dxa"/>
        <w:tblLook w:val="04A0"/>
      </w:tblPr>
      <w:tblGrid>
        <w:gridCol w:w="625"/>
        <w:gridCol w:w="1927"/>
        <w:gridCol w:w="5812"/>
        <w:gridCol w:w="1177"/>
      </w:tblGrid>
      <w:tr w:rsidR="00A76EEF" w:rsidRPr="00445A58" w:rsidTr="000F0A8E">
        <w:tc>
          <w:tcPr>
            <w:tcW w:w="625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№ п/п</w:t>
            </w:r>
          </w:p>
        </w:tc>
        <w:tc>
          <w:tcPr>
            <w:tcW w:w="1927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Найменування товару</w:t>
            </w:r>
          </w:p>
        </w:tc>
        <w:tc>
          <w:tcPr>
            <w:tcW w:w="5812" w:type="dxa"/>
          </w:tcPr>
          <w:p w:rsidR="00A76EEF" w:rsidRPr="00031AFE" w:rsidRDefault="00A76EEF" w:rsidP="000F0A8E">
            <w:pPr>
              <w:jc w:val="center"/>
            </w:pPr>
            <w:r w:rsidRPr="00031AFE">
              <w:t xml:space="preserve">Технічні </w:t>
            </w:r>
            <w:r>
              <w:t>характеристики товару</w:t>
            </w:r>
          </w:p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7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Кількість</w:t>
            </w:r>
          </w:p>
        </w:tc>
      </w:tr>
      <w:tr w:rsidR="00A76EEF" w:rsidRPr="00445A58" w:rsidTr="000F0A8E">
        <w:trPr>
          <w:trHeight w:val="373"/>
        </w:trPr>
        <w:tc>
          <w:tcPr>
            <w:tcW w:w="625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1.</w:t>
            </w:r>
          </w:p>
        </w:tc>
        <w:tc>
          <w:tcPr>
            <w:tcW w:w="1927" w:type="dxa"/>
          </w:tcPr>
          <w:p w:rsidR="00A76EEF" w:rsidRPr="00445A58" w:rsidRDefault="00A76EEF" w:rsidP="000F0A8E">
            <w:r w:rsidRPr="00445A58">
              <w:t>Ліжко металеве одноярусне</w:t>
            </w:r>
          </w:p>
        </w:tc>
        <w:tc>
          <w:tcPr>
            <w:tcW w:w="5812" w:type="dxa"/>
          </w:tcPr>
          <w:p w:rsidR="00A76EEF" w:rsidRDefault="00A76EEF" w:rsidP="000F0A8E">
            <w:pPr>
              <w:pStyle w:val="Default"/>
            </w:pPr>
            <w:r>
              <w:t>Висота ліжка – 744 мм;</w:t>
            </w:r>
          </w:p>
          <w:p w:rsidR="00A76EEF" w:rsidRDefault="00A76EEF" w:rsidP="000F0A8E">
            <w:pPr>
              <w:pStyle w:val="Default"/>
            </w:pPr>
            <w:r>
              <w:t>ширина ліжка – 837 мм;</w:t>
            </w:r>
          </w:p>
          <w:p w:rsidR="00A76EEF" w:rsidRDefault="00A76EEF" w:rsidP="000F0A8E">
            <w:pPr>
              <w:pStyle w:val="Default"/>
            </w:pPr>
            <w:r>
              <w:t>довжина ліжка – 1964 мм;</w:t>
            </w:r>
          </w:p>
          <w:p w:rsidR="00A76EEF" w:rsidRDefault="00A76EEF" w:rsidP="000F0A8E">
            <w:pPr>
              <w:pStyle w:val="Default"/>
            </w:pPr>
            <w:r>
              <w:t>довжина рами ліжка – 1900 мм;</w:t>
            </w:r>
          </w:p>
          <w:p w:rsidR="00A76EEF" w:rsidRDefault="00A76EEF" w:rsidP="000F0A8E">
            <w:pPr>
              <w:pStyle w:val="Default"/>
            </w:pPr>
            <w:r>
              <w:t xml:space="preserve">ширина рами ліжка – 800 мм; </w:t>
            </w:r>
          </w:p>
          <w:p w:rsidR="00A76EEF" w:rsidRDefault="00A76EEF" w:rsidP="000F0A8E">
            <w:pPr>
              <w:pStyle w:val="Default"/>
            </w:pPr>
            <w:r>
              <w:t xml:space="preserve">маса ліжка – не більше 16 кг; </w:t>
            </w:r>
          </w:p>
          <w:p w:rsidR="00A76EEF" w:rsidRDefault="00A76EEF" w:rsidP="000F0A8E">
            <w:pPr>
              <w:pStyle w:val="Default"/>
              <w:ind w:right="-108"/>
            </w:pPr>
            <w:r>
              <w:t xml:space="preserve">допустиме навантаження на ліжко – не більше 150 кг; </w:t>
            </w:r>
          </w:p>
          <w:p w:rsidR="00A76EEF" w:rsidRPr="00445A58" w:rsidRDefault="00A76EEF" w:rsidP="000F0A8E">
            <w:pPr>
              <w:pStyle w:val="Default"/>
              <w:rPr>
                <w:color w:val="auto"/>
              </w:rPr>
            </w:pPr>
            <w:r>
              <w:t>термін служби ліжка – не менше 5 років.</w:t>
            </w:r>
          </w:p>
        </w:tc>
        <w:tc>
          <w:tcPr>
            <w:tcW w:w="1177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100 шт.</w:t>
            </w:r>
          </w:p>
        </w:tc>
      </w:tr>
      <w:tr w:rsidR="00A76EEF" w:rsidRPr="00445A58" w:rsidTr="000F0A8E">
        <w:trPr>
          <w:trHeight w:val="408"/>
        </w:trPr>
        <w:tc>
          <w:tcPr>
            <w:tcW w:w="625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2.</w:t>
            </w:r>
          </w:p>
        </w:tc>
        <w:tc>
          <w:tcPr>
            <w:tcW w:w="1927" w:type="dxa"/>
          </w:tcPr>
          <w:p w:rsidR="00A76EEF" w:rsidRPr="00445A58" w:rsidRDefault="00A76EEF" w:rsidP="000F0A8E">
            <w:r w:rsidRPr="00445A58">
              <w:t>Ліжко металеве двоярусне</w:t>
            </w:r>
          </w:p>
        </w:tc>
        <w:tc>
          <w:tcPr>
            <w:tcW w:w="5812" w:type="dxa"/>
          </w:tcPr>
          <w:p w:rsidR="00A76EEF" w:rsidRDefault="00A76EEF" w:rsidP="000F0A8E">
            <w:pPr>
              <w:pStyle w:val="Default"/>
            </w:pPr>
            <w:r>
              <w:t>Висота ліжка – 1670 мм;</w:t>
            </w:r>
          </w:p>
          <w:p w:rsidR="00A76EEF" w:rsidRDefault="00A76EEF" w:rsidP="000F0A8E">
            <w:pPr>
              <w:pStyle w:val="Default"/>
            </w:pPr>
            <w:r>
              <w:t>ширина ліжка – 850 мм;</w:t>
            </w:r>
          </w:p>
          <w:p w:rsidR="00A76EEF" w:rsidRDefault="00A76EEF" w:rsidP="000F0A8E">
            <w:pPr>
              <w:pStyle w:val="Default"/>
            </w:pPr>
            <w:r>
              <w:t>довжина ліжка – 1964 мм;</w:t>
            </w:r>
          </w:p>
          <w:p w:rsidR="00A76EEF" w:rsidRDefault="00A76EEF" w:rsidP="000F0A8E">
            <w:pPr>
              <w:pStyle w:val="Default"/>
            </w:pPr>
            <w:r>
              <w:t>довжина рами ліжка – 1900 мм;</w:t>
            </w:r>
          </w:p>
          <w:p w:rsidR="00A76EEF" w:rsidRDefault="00A76EEF" w:rsidP="000F0A8E">
            <w:pPr>
              <w:pStyle w:val="Default"/>
            </w:pPr>
            <w:r>
              <w:t xml:space="preserve">ширина рами ліжка – 800 мм; </w:t>
            </w:r>
          </w:p>
          <w:p w:rsidR="00A76EEF" w:rsidRDefault="00A76EEF" w:rsidP="000F0A8E">
            <w:pPr>
              <w:pStyle w:val="Default"/>
            </w:pPr>
            <w:r>
              <w:t xml:space="preserve">маса ліжка – не більше 40 кг; </w:t>
            </w:r>
          </w:p>
          <w:p w:rsidR="00A76EEF" w:rsidRDefault="00A76EEF" w:rsidP="000F0A8E">
            <w:pPr>
              <w:pStyle w:val="Default"/>
              <w:ind w:right="-108"/>
            </w:pPr>
            <w:r>
              <w:t xml:space="preserve">допустиме навантаження на ліжко – не більше 300 кг; </w:t>
            </w:r>
          </w:p>
          <w:p w:rsidR="00A76EEF" w:rsidRDefault="00A76EEF" w:rsidP="000F0A8E">
            <w:pPr>
              <w:pStyle w:val="Default"/>
            </w:pPr>
            <w:r>
              <w:t>навантаження на одну раму – не більше 150 кг;</w:t>
            </w:r>
          </w:p>
          <w:p w:rsidR="00A76EEF" w:rsidRDefault="00A76EEF" w:rsidP="000F0A8E">
            <w:pPr>
              <w:pStyle w:val="Default"/>
            </w:pPr>
            <w:r>
              <w:t>термін служби ліжка – не менше 5 років.</w:t>
            </w:r>
          </w:p>
          <w:p w:rsidR="000626F2" w:rsidRDefault="000626F2" w:rsidP="000F0A8E">
            <w:pPr>
              <w:pStyle w:val="Default"/>
            </w:pPr>
            <w:r>
              <w:t>Наявні додаткові поручні (огорожі).</w:t>
            </w:r>
          </w:p>
          <w:p w:rsidR="000626F2" w:rsidRPr="00445A58" w:rsidRDefault="000626F2" w:rsidP="000F0A8E">
            <w:pPr>
              <w:pStyle w:val="Default"/>
              <w:rPr>
                <w:color w:val="auto"/>
              </w:rPr>
            </w:pPr>
            <w:r>
              <w:t>Наявна драбина.</w:t>
            </w:r>
          </w:p>
        </w:tc>
        <w:tc>
          <w:tcPr>
            <w:tcW w:w="1177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50 шт.</w:t>
            </w:r>
          </w:p>
        </w:tc>
      </w:tr>
      <w:tr w:rsidR="00A76EEF" w:rsidRPr="00445A58" w:rsidTr="000F0A8E">
        <w:trPr>
          <w:trHeight w:val="425"/>
        </w:trPr>
        <w:tc>
          <w:tcPr>
            <w:tcW w:w="625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3.</w:t>
            </w:r>
          </w:p>
        </w:tc>
        <w:tc>
          <w:tcPr>
            <w:tcW w:w="1927" w:type="dxa"/>
          </w:tcPr>
          <w:p w:rsidR="00A76EEF" w:rsidRPr="00445A58" w:rsidRDefault="00A76EEF" w:rsidP="000F0A8E">
            <w:pPr>
              <w:jc w:val="both"/>
            </w:pPr>
            <w:r w:rsidRPr="00445A58">
              <w:t>Матрац</w:t>
            </w:r>
          </w:p>
        </w:tc>
        <w:tc>
          <w:tcPr>
            <w:tcW w:w="5812" w:type="dxa"/>
          </w:tcPr>
          <w:p w:rsidR="00A76EEF" w:rsidRPr="001A3910" w:rsidRDefault="00A76EEF" w:rsidP="000F0A8E">
            <w:pPr>
              <w:jc w:val="both"/>
            </w:pPr>
            <w:r w:rsidRPr="001A3910">
              <w:t>Висота матраца: 5 см.</w:t>
            </w:r>
          </w:p>
          <w:p w:rsidR="00A76EEF" w:rsidRPr="001A3910" w:rsidRDefault="00A76EEF" w:rsidP="000F0A8E">
            <w:pPr>
              <w:jc w:val="both"/>
            </w:pPr>
            <w:r w:rsidRPr="001A3910">
              <w:t xml:space="preserve">Наповнення: блок ортопедичної піни </w:t>
            </w:r>
            <w:r w:rsidRPr="001A3910">
              <w:rPr>
                <w:lang w:val="en-US"/>
              </w:rPr>
              <w:t>Air</w:t>
            </w:r>
            <w:r w:rsidRPr="001A3910">
              <w:t xml:space="preserve"> </w:t>
            </w:r>
            <w:r w:rsidRPr="001A3910">
              <w:rPr>
                <w:lang w:val="en-US"/>
              </w:rPr>
              <w:t>Foam</w:t>
            </w:r>
            <w:r w:rsidRPr="001A3910">
              <w:t>.</w:t>
            </w:r>
          </w:p>
          <w:p w:rsidR="00A76EEF" w:rsidRPr="001A3910" w:rsidRDefault="00A76EEF" w:rsidP="000F0A8E">
            <w:pPr>
              <w:jc w:val="both"/>
            </w:pPr>
            <w:r w:rsidRPr="001A3910">
              <w:t xml:space="preserve">Чохол: </w:t>
            </w:r>
            <w:proofErr w:type="spellStart"/>
            <w:r w:rsidRPr="001A3910">
              <w:t>жакард</w:t>
            </w:r>
            <w:proofErr w:type="spellEnd"/>
            <w:r w:rsidRPr="001A3910">
              <w:t>.</w:t>
            </w:r>
          </w:p>
          <w:p w:rsidR="00A76EEF" w:rsidRPr="00445A58" w:rsidRDefault="00A76EEF" w:rsidP="000F0A8E">
            <w:pPr>
              <w:jc w:val="both"/>
            </w:pPr>
            <w:r w:rsidRPr="001A3910">
              <w:t>Навантаження: 120 кг на спальне місце.</w:t>
            </w:r>
          </w:p>
        </w:tc>
        <w:tc>
          <w:tcPr>
            <w:tcW w:w="1177" w:type="dxa"/>
          </w:tcPr>
          <w:p w:rsidR="00A76EEF" w:rsidRPr="00445A58" w:rsidRDefault="00A76EEF" w:rsidP="000F0A8E">
            <w:pPr>
              <w:pStyle w:val="Default"/>
              <w:jc w:val="center"/>
              <w:rPr>
                <w:color w:val="auto"/>
              </w:rPr>
            </w:pPr>
            <w:r w:rsidRPr="00445A58">
              <w:rPr>
                <w:color w:val="auto"/>
              </w:rPr>
              <w:t>200 шт.</w:t>
            </w:r>
          </w:p>
        </w:tc>
      </w:tr>
    </w:tbl>
    <w:p w:rsidR="00A76EEF" w:rsidRDefault="00A76EEF" w:rsidP="00A76EEF">
      <w:pPr>
        <w:ind w:firstLine="709"/>
        <w:contextualSpacing/>
        <w:jc w:val="both"/>
        <w:rPr>
          <w:lang w:eastAsia="ru-RU"/>
        </w:rPr>
      </w:pPr>
    </w:p>
    <w:p w:rsidR="00A76EEF" w:rsidRPr="00755C23" w:rsidRDefault="00A76EEF" w:rsidP="00A76EEF">
      <w:pPr>
        <w:ind w:firstLine="567"/>
        <w:rPr>
          <w:b/>
          <w:sz w:val="28"/>
          <w:szCs w:val="28"/>
        </w:rPr>
      </w:pPr>
      <w:r w:rsidRPr="00755C23">
        <w:rPr>
          <w:b/>
        </w:rPr>
        <w:t>Технічні вимоги до ліжок</w:t>
      </w:r>
    </w:p>
    <w:p w:rsidR="00A76EEF" w:rsidRPr="00755C23" w:rsidRDefault="00A76EEF" w:rsidP="00A76EEF">
      <w:r w:rsidRPr="00755C23">
        <w:t xml:space="preserve">Матеріал:  </w:t>
      </w:r>
    </w:p>
    <w:p w:rsidR="00A76EEF" w:rsidRPr="00F457BD" w:rsidRDefault="00A76EEF" w:rsidP="00A76EEF">
      <w:pPr>
        <w:jc w:val="both"/>
      </w:pPr>
      <w:r w:rsidRPr="00F457BD">
        <w:t>Рама – труба 40х20х1,5 ГОСТ 8645-68/В10 ГОСТ 13663-86; 25x25x1,5 ГОСТ 8639-82/В10 ГОСТ 13663-86;</w:t>
      </w:r>
      <w:r>
        <w:t xml:space="preserve"> </w:t>
      </w:r>
    </w:p>
    <w:p w:rsidR="00A76EEF" w:rsidRPr="00F457BD" w:rsidRDefault="00A76EEF" w:rsidP="00A76EEF">
      <w:pPr>
        <w:jc w:val="both"/>
      </w:pPr>
      <w:r w:rsidRPr="00F457BD">
        <w:t>Сітка – жорстка, зварна, розмір 100*100 мм, пруток 3 ГОСТ 2590-88/10 ГОСТ 535-88;</w:t>
      </w:r>
    </w:p>
    <w:p w:rsidR="00A76EEF" w:rsidRPr="00F457BD" w:rsidRDefault="00A76EEF" w:rsidP="00A76EEF">
      <w:pPr>
        <w:jc w:val="both"/>
      </w:pPr>
      <w:r w:rsidRPr="00F457BD">
        <w:t xml:space="preserve">Стійки – труба </w:t>
      </w:r>
      <w:r w:rsidRPr="00F457BD">
        <w:sym w:font="Symbol" w:char="F0C6"/>
      </w:r>
      <w:r w:rsidRPr="00F457BD">
        <w:t xml:space="preserve">32х1,5 ГОСТ 10704-91/Б-10 ГОСТ 10705-80; </w:t>
      </w:r>
    </w:p>
    <w:p w:rsidR="00A76EEF" w:rsidRPr="00F457BD" w:rsidRDefault="00A76EEF" w:rsidP="00A76EEF">
      <w:pPr>
        <w:jc w:val="both"/>
      </w:pPr>
      <w:r w:rsidRPr="00F457BD">
        <w:t>Зварні шви по ГОСТ 14771-76.</w:t>
      </w:r>
    </w:p>
    <w:p w:rsidR="00A76EEF" w:rsidRPr="00F457BD" w:rsidRDefault="00A76EEF" w:rsidP="00A76EEF">
      <w:pPr>
        <w:jc w:val="both"/>
      </w:pPr>
      <w:r w:rsidRPr="00F457BD">
        <w:t>Покриття: фарба порошкова поліефірна ТУ У 24.3-31018788-001-2002.</w:t>
      </w:r>
    </w:p>
    <w:p w:rsidR="00A76EEF" w:rsidRPr="001A3910" w:rsidRDefault="00A76EEF" w:rsidP="00A76EEF">
      <w:pPr>
        <w:ind w:firstLine="708"/>
        <w:jc w:val="both"/>
      </w:pPr>
      <w:r>
        <w:t>Ліжка</w:t>
      </w:r>
      <w:r w:rsidRPr="001A3910">
        <w:t xml:space="preserve"> з цими параметрами </w:t>
      </w:r>
      <w:r>
        <w:t xml:space="preserve">мають </w:t>
      </w:r>
      <w:r w:rsidRPr="001A3910">
        <w:t>повністю відповіда</w:t>
      </w:r>
      <w:r>
        <w:t>ти</w:t>
      </w:r>
      <w:r w:rsidRPr="001A3910">
        <w:t>: ДСТУ 4414: 2005 Меблі за індивідуальним замовленням. Загальні технічні умови ДСТУ ГОСТ 19917:2016 (ГОСТ 19917-2014, IDT) «Меблі для сидіння та лежання. Загальні технічні умови», ГОСТ 16371-93 Меблі. Загальні технічні умови.</w:t>
      </w:r>
    </w:p>
    <w:p w:rsidR="000626F2" w:rsidRDefault="000626F2" w:rsidP="00A76EEF">
      <w:pPr>
        <w:ind w:firstLine="708"/>
        <w:rPr>
          <w:b/>
        </w:rPr>
      </w:pPr>
    </w:p>
    <w:p w:rsidR="00A76EEF" w:rsidRPr="001A3910" w:rsidRDefault="00A76EEF" w:rsidP="00A76EEF">
      <w:pPr>
        <w:ind w:firstLine="708"/>
        <w:rPr>
          <w:b/>
        </w:rPr>
      </w:pPr>
      <w:r w:rsidRPr="001A3910">
        <w:rPr>
          <w:b/>
        </w:rPr>
        <w:lastRenderedPageBreak/>
        <w:t>Транспортування та зберігання</w:t>
      </w:r>
    </w:p>
    <w:p w:rsidR="00A76EEF" w:rsidRPr="001A3910" w:rsidRDefault="00A76EEF" w:rsidP="00A76EEF">
      <w:pPr>
        <w:ind w:firstLine="708"/>
        <w:jc w:val="both"/>
      </w:pPr>
      <w:r w:rsidRPr="001A3910">
        <w:t>Транспортування ліжок повинно проводитися в критих транспортних засобах відповідно до групи Ж2 ГОСТ 15150-69. Ліжка повинні зберігатися в сухих закритих приміщеннях з відносною вологістю повітря не більше 75%, в яких зберігання кислот і інших хімічно активних речовин не допускається. Умови зберігання повинні відповідати групі зберігання С ГОСТ 15150-69.</w:t>
      </w:r>
    </w:p>
    <w:p w:rsidR="00A76EEF" w:rsidRPr="001A3910" w:rsidRDefault="00A76EEF" w:rsidP="00A76EEF">
      <w:pPr>
        <w:ind w:firstLine="708"/>
        <w:rPr>
          <w:b/>
        </w:rPr>
      </w:pPr>
      <w:r w:rsidRPr="001A3910">
        <w:rPr>
          <w:b/>
        </w:rPr>
        <w:t>Гарантійні зобов'язання</w:t>
      </w:r>
    </w:p>
    <w:p w:rsidR="00A76EEF" w:rsidRPr="001A3910" w:rsidRDefault="00A76EEF" w:rsidP="00A76EEF">
      <w:pPr>
        <w:ind w:firstLine="708"/>
        <w:jc w:val="both"/>
      </w:pPr>
      <w:r w:rsidRPr="001A3910">
        <w:t>Підприємство-виробник повинен гарантувати відповідність якості ліжка вимогам конструкторської документації і технічних умов по ГОСТ 19917-93, дотримуватися правил транспортування, зберігання і експлуатації.</w:t>
      </w:r>
    </w:p>
    <w:p w:rsidR="00A76EEF" w:rsidRPr="001A3910" w:rsidRDefault="00A76EEF" w:rsidP="00A76EEF">
      <w:pPr>
        <w:ind w:firstLine="708"/>
        <w:jc w:val="both"/>
      </w:pPr>
      <w:r w:rsidRPr="001A3910">
        <w:t>Гарантійний термін експлуатації ліжка з моменту введення в експлуатацію повинен бути не менше 12 місяців.</w:t>
      </w:r>
    </w:p>
    <w:p w:rsidR="00A76EEF" w:rsidRPr="001A3910" w:rsidRDefault="00A76EEF" w:rsidP="00A76EEF">
      <w:pPr>
        <w:ind w:firstLine="708"/>
        <w:jc w:val="both"/>
        <w:rPr>
          <w:b/>
        </w:rPr>
      </w:pPr>
      <w:r w:rsidRPr="001A3910">
        <w:rPr>
          <w:b/>
        </w:rPr>
        <w:t>Супроводжуючі документи</w:t>
      </w:r>
    </w:p>
    <w:p w:rsidR="00A76EEF" w:rsidRPr="001A3910" w:rsidRDefault="00A76EEF" w:rsidP="00A76EEF">
      <w:pPr>
        <w:ind w:firstLine="708"/>
        <w:jc w:val="both"/>
      </w:pPr>
      <w:r w:rsidRPr="001A3910">
        <w:t>На кожну партію товару надаються</w:t>
      </w:r>
      <w:r>
        <w:t xml:space="preserve"> (за наявності)</w:t>
      </w:r>
      <w:r w:rsidRPr="001A3910">
        <w:t xml:space="preserve"> всі супроводжуючі документи, які засвідчують якість продукції, а саме:</w:t>
      </w:r>
    </w:p>
    <w:p w:rsidR="00A76EEF" w:rsidRPr="001A3910" w:rsidRDefault="00A76EEF" w:rsidP="00A76EEF">
      <w:pPr>
        <w:tabs>
          <w:tab w:val="left" w:pos="284"/>
        </w:tabs>
        <w:jc w:val="both"/>
      </w:pPr>
      <w:r w:rsidRPr="001A3910">
        <w:t>- копія висновку державної санітарно-епідеміологічної експертизи з посиланням на ДСТУ ГОСТ на товар, що пропонується до постачання;</w:t>
      </w:r>
    </w:p>
    <w:p w:rsidR="00A76EEF" w:rsidRPr="001A3910" w:rsidRDefault="00A76EEF" w:rsidP="00A76EEF">
      <w:pPr>
        <w:jc w:val="both"/>
      </w:pPr>
      <w:r w:rsidRPr="001A3910">
        <w:t>- копію сертифікату відповідності з посиланням на ДСТУ ГОСТ на товар, що пропонується до постачання;</w:t>
      </w:r>
    </w:p>
    <w:p w:rsidR="00A76EEF" w:rsidRPr="001A3910" w:rsidRDefault="00A76EEF" w:rsidP="00A76EEF">
      <w:pPr>
        <w:jc w:val="both"/>
      </w:pPr>
      <w:r w:rsidRPr="001A3910">
        <w:t>- копію сертифікату ДСТУ ISO 9001:2015;</w:t>
      </w:r>
    </w:p>
    <w:p w:rsidR="00A76EEF" w:rsidRPr="001A3910" w:rsidRDefault="00A76EEF" w:rsidP="00A76EEF">
      <w:pPr>
        <w:jc w:val="both"/>
      </w:pPr>
      <w:r w:rsidRPr="001A3910">
        <w:t>- копію сертифікату ДСТУ ISO 14001:2015.</w:t>
      </w:r>
    </w:p>
    <w:p w:rsidR="00A76EEF" w:rsidRPr="001A3910" w:rsidRDefault="00A76EEF" w:rsidP="00A76EEF">
      <w:pPr>
        <w:jc w:val="both"/>
      </w:pPr>
    </w:p>
    <w:p w:rsidR="00A76EEF" w:rsidRPr="001E2478" w:rsidRDefault="00A76EEF" w:rsidP="00A76EEF">
      <w:pPr>
        <w:ind w:firstLine="709"/>
        <w:contextualSpacing/>
        <w:jc w:val="both"/>
      </w:pPr>
      <w:r w:rsidRPr="001E2478">
        <w:t>Поставка Товару та завантажувально-розвантажувальні роботи здійснюються за рахунок Учасника до місця вказаного Замовником.</w:t>
      </w:r>
    </w:p>
    <w:p w:rsidR="00A76EEF" w:rsidRPr="001E2478" w:rsidRDefault="00A76EEF" w:rsidP="00A76EEF">
      <w:pPr>
        <w:ind w:firstLine="567"/>
        <w:jc w:val="both"/>
      </w:pPr>
      <w:r w:rsidRPr="001E2478">
        <w:t xml:space="preserve"> Якщо поставлений товар виявиться не якісним, або таким, що не відповідає умовам, Постачальник зобов’язаний замінити цей товар. Всі витрати пов’язані із заміною товару неналежної якості несе Постачальник.</w:t>
      </w:r>
    </w:p>
    <w:p w:rsidR="00590BA0" w:rsidRDefault="00590BA0"/>
    <w:sectPr w:rsidR="00590BA0" w:rsidSect="0059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76EEF"/>
    <w:rsid w:val="000037BD"/>
    <w:rsid w:val="000626F2"/>
    <w:rsid w:val="001132C8"/>
    <w:rsid w:val="00213AD7"/>
    <w:rsid w:val="002D0011"/>
    <w:rsid w:val="002E61BB"/>
    <w:rsid w:val="00590BA0"/>
    <w:rsid w:val="00667691"/>
    <w:rsid w:val="00825AED"/>
    <w:rsid w:val="008F40AA"/>
    <w:rsid w:val="0097262D"/>
    <w:rsid w:val="00A76EEF"/>
    <w:rsid w:val="00AF03EC"/>
    <w:rsid w:val="00B5524B"/>
    <w:rsid w:val="00C40162"/>
    <w:rsid w:val="00D81E04"/>
    <w:rsid w:val="00EE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EF"/>
    <w:pPr>
      <w:suppressAutoHyphens/>
      <w:spacing w:after="0" w:line="240" w:lineRule="auto"/>
    </w:pPr>
    <w:rPr>
      <w:rFonts w:eastAsia="Times New Roman"/>
      <w:kern w:val="1"/>
      <w:sz w:val="24"/>
      <w:szCs w:val="24"/>
      <w:lang w:val="uk-UA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D81E04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uppressAutoHyphens w:val="0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kern w:val="0"/>
      <w:sz w:val="22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81E04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uppressAutoHyphens w:val="0"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81E04"/>
    <w:pPr>
      <w:pBdr>
        <w:left w:val="single" w:sz="48" w:space="2" w:color="438086" w:themeColor="accent2"/>
        <w:bottom w:val="single" w:sz="4" w:space="0" w:color="438086" w:themeColor="accent2"/>
      </w:pBdr>
      <w:suppressAutoHyphens w:val="0"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1E04"/>
    <w:pPr>
      <w:pBdr>
        <w:left w:val="single" w:sz="4" w:space="2" w:color="438086" w:themeColor="accent2"/>
        <w:bottom w:val="single" w:sz="4" w:space="2" w:color="438086" w:themeColor="accent2"/>
      </w:pBdr>
      <w:suppressAutoHyphens w:val="0"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1E04"/>
    <w:pPr>
      <w:pBdr>
        <w:left w:val="dotted" w:sz="4" w:space="2" w:color="438086" w:themeColor="accent2"/>
        <w:bottom w:val="dotted" w:sz="4" w:space="2" w:color="438086" w:themeColor="accent2"/>
      </w:pBdr>
      <w:suppressAutoHyphens w:val="0"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1E04"/>
    <w:pPr>
      <w:pBdr>
        <w:bottom w:val="single" w:sz="4" w:space="2" w:color="ACD2D5" w:themeColor="accent2" w:themeTint="66"/>
      </w:pBdr>
      <w:suppressAutoHyphens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1E04"/>
    <w:pPr>
      <w:pBdr>
        <w:bottom w:val="dotted" w:sz="4" w:space="2" w:color="83BBC1" w:themeColor="accent2" w:themeTint="99"/>
      </w:pBdr>
      <w:suppressAutoHyphens w:val="0"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2"/>
      <w:szCs w:val="22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1E04"/>
    <w:pPr>
      <w:suppressAutoHyphens w:val="0"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E04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1E04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81E04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81E04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81E04"/>
    <w:pPr>
      <w:suppressAutoHyphens w:val="0"/>
      <w:spacing w:after="200" w:line="288" w:lineRule="auto"/>
    </w:pPr>
    <w:rPr>
      <w:rFonts w:eastAsiaTheme="minorHAnsi"/>
      <w:b/>
      <w:bCs/>
      <w:i/>
      <w:iCs/>
      <w:color w:val="325F64" w:themeColor="accent2" w:themeShade="BF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81E04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uppressAutoHyphens w:val="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81E0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D81E04"/>
    <w:pPr>
      <w:pBdr>
        <w:bottom w:val="dotted" w:sz="8" w:space="10" w:color="438086" w:themeColor="accent2"/>
      </w:pBdr>
      <w:suppressAutoHyphens w:val="0"/>
      <w:spacing w:before="200" w:after="900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kern w:val="0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81E04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D81E04"/>
    <w:rPr>
      <w:b/>
      <w:bCs/>
      <w:spacing w:val="0"/>
    </w:rPr>
  </w:style>
  <w:style w:type="character" w:styleId="a9">
    <w:name w:val="Emphasis"/>
    <w:uiPriority w:val="20"/>
    <w:qFormat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uiPriority w:val="1"/>
    <w:qFormat/>
    <w:rsid w:val="00D81E04"/>
    <w:pPr>
      <w:suppressAutoHyphens w:val="0"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ab">
    <w:name w:val="List Paragraph"/>
    <w:basedOn w:val="a"/>
    <w:uiPriority w:val="34"/>
    <w:qFormat/>
    <w:rsid w:val="00D81E04"/>
    <w:pPr>
      <w:suppressAutoHyphens w:val="0"/>
      <w:spacing w:after="200" w:line="288" w:lineRule="auto"/>
      <w:ind w:left="720"/>
      <w:contextualSpacing/>
    </w:pPr>
    <w:rPr>
      <w:rFonts w:eastAsiaTheme="minorHAnsi"/>
      <w:i/>
      <w:iCs/>
      <w:kern w:val="0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81E04"/>
    <w:pPr>
      <w:suppressAutoHyphens w:val="0"/>
      <w:spacing w:after="200" w:line="288" w:lineRule="auto"/>
    </w:pPr>
    <w:rPr>
      <w:rFonts w:eastAsiaTheme="minorHAnsi"/>
      <w:color w:val="325F64" w:themeColor="accent2" w:themeShade="BF"/>
      <w:kern w:val="0"/>
      <w:sz w:val="20"/>
      <w:szCs w:val="20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D81E04"/>
    <w:rPr>
      <w:color w:val="325F6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81E04"/>
    <w:pPr>
      <w:pBdr>
        <w:top w:val="dotted" w:sz="8" w:space="10" w:color="438086" w:themeColor="accent2"/>
        <w:bottom w:val="dotted" w:sz="8" w:space="10" w:color="438086" w:themeColor="accent2"/>
      </w:pBdr>
      <w:suppressAutoHyphens w:val="0"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kern w:val="0"/>
      <w:sz w:val="20"/>
      <w:szCs w:val="20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81E04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D81E04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">
    <w:name w:val="Intense Emphasis"/>
    <w:uiPriority w:val="21"/>
    <w:qFormat/>
    <w:rsid w:val="00D81E0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D81E04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D81E04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D81E04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81E04"/>
    <w:pPr>
      <w:outlineLvl w:val="9"/>
    </w:pPr>
  </w:style>
  <w:style w:type="paragraph" w:customStyle="1" w:styleId="11">
    <w:name w:val="Стиль1"/>
    <w:basedOn w:val="3"/>
    <w:qFormat/>
    <w:rsid w:val="00D81E04"/>
    <w:rPr>
      <w:sz w:val="28"/>
    </w:rPr>
  </w:style>
  <w:style w:type="paragraph" w:customStyle="1" w:styleId="23">
    <w:name w:val="Стиль2"/>
    <w:basedOn w:val="ac"/>
    <w:qFormat/>
    <w:rsid w:val="00D81E04"/>
    <w:pPr>
      <w:spacing w:after="0" w:line="240" w:lineRule="auto"/>
      <w:ind w:left="3969" w:right="-2"/>
      <w:jc w:val="right"/>
    </w:pPr>
    <w:rPr>
      <w:b w:val="0"/>
      <w:color w:val="325F64" w:themeColor="accent2" w:themeShade="BF"/>
      <w:sz w:val="28"/>
      <w:szCs w:val="28"/>
    </w:rPr>
  </w:style>
  <w:style w:type="paragraph" w:customStyle="1" w:styleId="51">
    <w:name w:val="Стиль5"/>
    <w:basedOn w:val="a"/>
    <w:qFormat/>
    <w:rsid w:val="00D81E04"/>
    <w:pPr>
      <w:pBdr>
        <w:bottom w:val="dotted" w:sz="8" w:space="10" w:color="438086" w:themeColor="accent2"/>
      </w:pBdr>
      <w:suppressAutoHyphens w:val="0"/>
      <w:spacing w:before="120" w:after="120"/>
      <w:jc w:val="center"/>
    </w:pPr>
    <w:rPr>
      <w:rFonts w:asciiTheme="majorHAnsi" w:eastAsiaTheme="majorEastAsia" w:hAnsiTheme="majorHAnsi" w:cstheme="majorBidi"/>
      <w:bCs/>
      <w:iCs/>
      <w:color w:val="213F42" w:themeColor="accent2" w:themeShade="7F"/>
      <w:kern w:val="0"/>
      <w:sz w:val="28"/>
      <w:lang w:val="ru-RU" w:eastAsia="en-US" w:bidi="en-US"/>
    </w:rPr>
  </w:style>
  <w:style w:type="character" w:customStyle="1" w:styleId="24">
    <w:name w:val="Основной шрифт абзаца2"/>
    <w:rsid w:val="00A76EEF"/>
  </w:style>
  <w:style w:type="paragraph" w:customStyle="1" w:styleId="Default">
    <w:name w:val="Default"/>
    <w:rsid w:val="00A76EEF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uk-UA" w:eastAsia="uk-UA" w:bidi="ar-SA"/>
    </w:rPr>
  </w:style>
  <w:style w:type="table" w:styleId="af4">
    <w:name w:val="Table Grid"/>
    <w:basedOn w:val="a1"/>
    <w:uiPriority w:val="59"/>
    <w:rsid w:val="00A76EEF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A76EE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76EEF"/>
    <w:rPr>
      <w:rFonts w:eastAsia="Times New Roman"/>
      <w:kern w:val="1"/>
      <w:sz w:val="24"/>
      <w:szCs w:val="24"/>
      <w:lang w:val="uk-UA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F96B2-ADF1-4EBE-9B47-3AA43327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ekonomika2</dc:creator>
  <cp:keywords/>
  <dc:description/>
  <cp:lastModifiedBy>ekonomika2</cp:lastModifiedBy>
  <cp:revision>3</cp:revision>
  <dcterms:created xsi:type="dcterms:W3CDTF">2022-09-20T07:45:00Z</dcterms:created>
  <dcterms:modified xsi:type="dcterms:W3CDTF">2022-09-26T10:20:00Z</dcterms:modified>
</cp:coreProperties>
</file>