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58" w:rsidRPr="00A10171" w:rsidRDefault="00E02AFE" w:rsidP="003D2558">
      <w:pPr>
        <w:jc w:val="right"/>
        <w:rPr>
          <w:b/>
        </w:rPr>
      </w:pPr>
      <w:r w:rsidRPr="00A95916">
        <w:rPr>
          <w:b/>
          <w:color w:val="FF0000"/>
        </w:rPr>
        <w:t xml:space="preserve"> </w:t>
      </w:r>
      <w:r w:rsidR="003D2558" w:rsidRPr="00A10171">
        <w:rPr>
          <w:b/>
        </w:rPr>
        <w:t>Додаток 1</w:t>
      </w:r>
    </w:p>
    <w:p w:rsidR="003D2558" w:rsidRPr="00A10171" w:rsidRDefault="003D2558" w:rsidP="003D2558">
      <w:pPr>
        <w:jc w:val="right"/>
        <w:rPr>
          <w:b/>
        </w:rPr>
      </w:pPr>
      <w:r w:rsidRPr="00A10171">
        <w:rPr>
          <w:b/>
        </w:rPr>
        <w:t xml:space="preserve">до протоколу </w:t>
      </w:r>
      <w:r w:rsidR="002116C8" w:rsidRPr="00A10171">
        <w:rPr>
          <w:b/>
          <w:bCs/>
        </w:rPr>
        <w:t>№</w:t>
      </w:r>
      <w:r w:rsidR="00A10171" w:rsidRPr="00A10171">
        <w:rPr>
          <w:b/>
          <w:bCs/>
        </w:rPr>
        <w:t>76</w:t>
      </w:r>
      <w:r w:rsidR="00E02AFE" w:rsidRPr="00A10171">
        <w:rPr>
          <w:b/>
          <w:bCs/>
        </w:rPr>
        <w:t xml:space="preserve"> </w:t>
      </w:r>
      <w:r w:rsidRPr="00A10171">
        <w:rPr>
          <w:b/>
        </w:rPr>
        <w:t xml:space="preserve">від </w:t>
      </w:r>
      <w:r w:rsidR="00A95916" w:rsidRPr="00A10171">
        <w:rPr>
          <w:b/>
        </w:rPr>
        <w:t>29</w:t>
      </w:r>
      <w:r w:rsidRPr="00A10171">
        <w:rPr>
          <w:b/>
        </w:rPr>
        <w:t>.</w:t>
      </w:r>
      <w:r w:rsidR="00430D82" w:rsidRPr="00A10171">
        <w:rPr>
          <w:b/>
        </w:rPr>
        <w:t>0</w:t>
      </w:r>
      <w:r w:rsidR="00FC5C37" w:rsidRPr="00A10171">
        <w:rPr>
          <w:b/>
        </w:rPr>
        <w:t>4</w:t>
      </w:r>
      <w:r w:rsidRPr="00A10171">
        <w:rPr>
          <w:b/>
        </w:rPr>
        <w:t>.202</w:t>
      </w:r>
      <w:r w:rsidR="006C752B" w:rsidRPr="00A10171">
        <w:rPr>
          <w:b/>
        </w:rPr>
        <w:t>4</w:t>
      </w:r>
      <w:r w:rsidRPr="00A10171">
        <w:rPr>
          <w:b/>
        </w:rPr>
        <w:t xml:space="preserve"> року</w:t>
      </w:r>
    </w:p>
    <w:p w:rsidR="00A95916" w:rsidRDefault="00A95916" w:rsidP="008D3271">
      <w:pPr>
        <w:jc w:val="center"/>
        <w:rPr>
          <w:b/>
        </w:rPr>
      </w:pPr>
    </w:p>
    <w:p w:rsidR="00A95916" w:rsidRDefault="00A95916" w:rsidP="008D3271">
      <w:pPr>
        <w:jc w:val="center"/>
        <w:rPr>
          <w:b/>
        </w:rPr>
      </w:pPr>
    </w:p>
    <w:p w:rsidR="00A95916" w:rsidRDefault="00A95916" w:rsidP="008D3271">
      <w:pPr>
        <w:jc w:val="center"/>
        <w:rPr>
          <w:b/>
        </w:rPr>
      </w:pPr>
    </w:p>
    <w:p w:rsidR="008D3271" w:rsidRPr="00933FD1" w:rsidRDefault="008D3271" w:rsidP="008D3271">
      <w:pPr>
        <w:jc w:val="center"/>
        <w:rPr>
          <w:b/>
        </w:rPr>
      </w:pPr>
      <w:r w:rsidRPr="00E02AFE">
        <w:rPr>
          <w:b/>
        </w:rPr>
        <w:t>Зміни</w:t>
      </w:r>
      <w:r w:rsidR="00933FD1" w:rsidRPr="00E02AFE">
        <w:rPr>
          <w:b/>
        </w:rPr>
        <w:t>,</w:t>
      </w:r>
      <w:r w:rsidRPr="00E02AFE">
        <w:rPr>
          <w:b/>
        </w:rPr>
        <w:t xml:space="preserve"> внесені до</w:t>
      </w:r>
      <w:r w:rsidR="0094247B" w:rsidRPr="00E02AFE">
        <w:rPr>
          <w:b/>
        </w:rPr>
        <w:t xml:space="preserve"> тендерної документації та</w:t>
      </w:r>
      <w:r w:rsidR="00FC5C37" w:rsidRPr="00E02AFE">
        <w:rPr>
          <w:b/>
        </w:rPr>
        <w:t>оголошення про проведення відкритих</w:t>
      </w:r>
      <w:r w:rsidR="00FC5C37" w:rsidRPr="00933FD1">
        <w:rPr>
          <w:b/>
        </w:rPr>
        <w:t xml:space="preserve"> торгів</w:t>
      </w:r>
    </w:p>
    <w:p w:rsidR="008D3271" w:rsidRPr="00933FD1" w:rsidRDefault="008D3271" w:rsidP="008D3271">
      <w:pPr>
        <w:jc w:val="center"/>
        <w:rPr>
          <w:b/>
        </w:rPr>
      </w:pPr>
      <w:r w:rsidRPr="00933FD1">
        <w:rPr>
          <w:b/>
        </w:rPr>
        <w:t xml:space="preserve">щодо закупівлі </w:t>
      </w:r>
    </w:p>
    <w:p w:rsidR="008D3271" w:rsidRDefault="00A95916" w:rsidP="00430D82">
      <w:pPr>
        <w:shd w:val="clear" w:color="auto" w:fill="FFFFFF"/>
        <w:tabs>
          <w:tab w:val="left" w:pos="720"/>
        </w:tabs>
        <w:jc w:val="center"/>
        <w:rPr>
          <w:b/>
        </w:rPr>
      </w:pPr>
      <w:r w:rsidRPr="000A54EB">
        <w:rPr>
          <w:b/>
        </w:rPr>
        <w:t xml:space="preserve">«код </w:t>
      </w:r>
      <w:proofErr w:type="spellStart"/>
      <w:r w:rsidRPr="000A54EB">
        <w:rPr>
          <w:b/>
        </w:rPr>
        <w:t>ДК</w:t>
      </w:r>
      <w:proofErr w:type="spellEnd"/>
      <w:r w:rsidRPr="000A54EB">
        <w:rPr>
          <w:b/>
        </w:rPr>
        <w:t xml:space="preserve"> 021:2015 09110000-3 - Тверде паливо» (Вугілля кам’яне марки Г 13-100, Вугілля кам’яне марки П 13-25, Паливні гранули з відходів деревини (</w:t>
      </w:r>
      <w:proofErr w:type="spellStart"/>
      <w:r w:rsidRPr="000A54EB">
        <w:rPr>
          <w:b/>
        </w:rPr>
        <w:t>пелети</w:t>
      </w:r>
      <w:proofErr w:type="spellEnd"/>
      <w:r w:rsidRPr="000A54EB">
        <w:rPr>
          <w:b/>
        </w:rPr>
        <w:t xml:space="preserve">), </w:t>
      </w:r>
      <w:proofErr w:type="spellStart"/>
      <w:r w:rsidRPr="000A54EB">
        <w:rPr>
          <w:b/>
        </w:rPr>
        <w:t>Напівбрикет</w:t>
      </w:r>
      <w:proofErr w:type="spellEnd"/>
      <w:r w:rsidRPr="000A54EB">
        <w:rPr>
          <w:b/>
        </w:rPr>
        <w:t xml:space="preserve"> торф’яний, Торф паливний фрезерний)»</w:t>
      </w:r>
    </w:p>
    <w:p w:rsidR="00A95916" w:rsidRDefault="00A95916" w:rsidP="00430D82">
      <w:pPr>
        <w:shd w:val="clear" w:color="auto" w:fill="FFFFFF"/>
        <w:tabs>
          <w:tab w:val="left" w:pos="720"/>
        </w:tabs>
        <w:jc w:val="center"/>
        <w:rPr>
          <w:b/>
        </w:rPr>
      </w:pPr>
    </w:p>
    <w:p w:rsidR="00A95916" w:rsidRPr="004210DF" w:rsidRDefault="00A95916" w:rsidP="00430D82">
      <w:pPr>
        <w:shd w:val="clear" w:color="auto" w:fill="FFFFFF"/>
        <w:tabs>
          <w:tab w:val="left" w:pos="720"/>
        </w:tabs>
        <w:jc w:val="center"/>
        <w:rPr>
          <w:b/>
          <w:bCs/>
          <w:spacing w:val="1"/>
        </w:rPr>
      </w:pPr>
    </w:p>
    <w:tbl>
      <w:tblPr>
        <w:tblW w:w="16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55"/>
        <w:gridCol w:w="7372"/>
      </w:tblGrid>
      <w:tr w:rsidR="004210DF" w:rsidRPr="004210DF" w:rsidTr="00C276E6">
        <w:trPr>
          <w:trHeight w:val="20"/>
        </w:trPr>
        <w:tc>
          <w:tcPr>
            <w:tcW w:w="1418" w:type="dxa"/>
            <w:vAlign w:val="center"/>
          </w:tcPr>
          <w:p w:rsidR="007311E9" w:rsidRPr="004210DF" w:rsidRDefault="00CF6793" w:rsidP="009D48CB">
            <w:pPr>
              <w:ind w:left="-108" w:right="-108"/>
              <w:rPr>
                <w:b/>
                <w:i/>
              </w:rPr>
            </w:pPr>
            <w:r w:rsidRPr="004210DF">
              <w:rPr>
                <w:b/>
                <w:i/>
              </w:rPr>
              <w:t xml:space="preserve">Пункт </w:t>
            </w:r>
            <w:r w:rsidR="009D48CB">
              <w:rPr>
                <w:b/>
                <w:i/>
              </w:rPr>
              <w:t>ТД</w:t>
            </w:r>
          </w:p>
        </w:tc>
        <w:tc>
          <w:tcPr>
            <w:tcW w:w="7655" w:type="dxa"/>
            <w:shd w:val="clear" w:color="auto" w:fill="auto"/>
            <w:vAlign w:val="center"/>
          </w:tcPr>
          <w:p w:rsidR="007311E9" w:rsidRPr="004210DF" w:rsidRDefault="007311E9" w:rsidP="00A95916">
            <w:pPr>
              <w:jc w:val="center"/>
              <w:rPr>
                <w:b/>
              </w:rPr>
            </w:pPr>
            <w:r w:rsidRPr="004210DF">
              <w:rPr>
                <w:b/>
              </w:rPr>
              <w:t xml:space="preserve">Редакція від </w:t>
            </w:r>
            <w:r w:rsidR="00A95916">
              <w:rPr>
                <w:b/>
              </w:rPr>
              <w:t>26</w:t>
            </w:r>
            <w:r w:rsidR="005E38E8" w:rsidRPr="004210DF">
              <w:rPr>
                <w:b/>
              </w:rPr>
              <w:t>.</w:t>
            </w:r>
            <w:r w:rsidR="00430D82">
              <w:rPr>
                <w:b/>
              </w:rPr>
              <w:t>0</w:t>
            </w:r>
            <w:r w:rsidR="00FC5C37">
              <w:rPr>
                <w:b/>
              </w:rPr>
              <w:t>4</w:t>
            </w:r>
            <w:r w:rsidR="005E38E8" w:rsidRPr="004210DF">
              <w:rPr>
                <w:b/>
              </w:rPr>
              <w:t>.</w:t>
            </w:r>
            <w:r w:rsidRPr="004210DF">
              <w:rPr>
                <w:b/>
              </w:rPr>
              <w:t>202</w:t>
            </w:r>
            <w:r w:rsidR="00FC5C37">
              <w:rPr>
                <w:b/>
              </w:rPr>
              <w:t>4</w:t>
            </w:r>
            <w:r w:rsidRPr="004210DF">
              <w:rPr>
                <w:b/>
              </w:rPr>
              <w:t xml:space="preserve"> року</w:t>
            </w:r>
          </w:p>
        </w:tc>
        <w:tc>
          <w:tcPr>
            <w:tcW w:w="7372" w:type="dxa"/>
          </w:tcPr>
          <w:p w:rsidR="007311E9" w:rsidRPr="004210DF" w:rsidRDefault="007311E9" w:rsidP="00A95916">
            <w:pPr>
              <w:jc w:val="center"/>
              <w:rPr>
                <w:b/>
              </w:rPr>
            </w:pPr>
            <w:r w:rsidRPr="004210DF">
              <w:rPr>
                <w:b/>
              </w:rPr>
              <w:t xml:space="preserve">Редакція від </w:t>
            </w:r>
            <w:r w:rsidR="00A95916">
              <w:rPr>
                <w:b/>
              </w:rPr>
              <w:t>29</w:t>
            </w:r>
            <w:r w:rsidRPr="004210DF">
              <w:rPr>
                <w:b/>
              </w:rPr>
              <w:t>.</w:t>
            </w:r>
            <w:r w:rsidR="00430D82">
              <w:rPr>
                <w:b/>
              </w:rPr>
              <w:t>0</w:t>
            </w:r>
            <w:r w:rsidR="00FC5C37">
              <w:rPr>
                <w:b/>
              </w:rPr>
              <w:t>4</w:t>
            </w:r>
            <w:r w:rsidRPr="004210DF">
              <w:rPr>
                <w:b/>
              </w:rPr>
              <w:t>.202</w:t>
            </w:r>
            <w:r w:rsidR="00430D82">
              <w:rPr>
                <w:b/>
              </w:rPr>
              <w:t>4</w:t>
            </w:r>
            <w:r w:rsidRPr="004210DF">
              <w:rPr>
                <w:b/>
              </w:rPr>
              <w:t xml:space="preserve"> року</w:t>
            </w:r>
          </w:p>
        </w:tc>
      </w:tr>
      <w:tr w:rsidR="0094247B" w:rsidRPr="004210DF" w:rsidTr="00C276E6">
        <w:trPr>
          <w:trHeight w:val="20"/>
        </w:trPr>
        <w:tc>
          <w:tcPr>
            <w:tcW w:w="1418" w:type="dxa"/>
            <w:vAlign w:val="center"/>
          </w:tcPr>
          <w:p w:rsidR="0094247B" w:rsidRPr="0094247B" w:rsidRDefault="00A95916" w:rsidP="00933FD1">
            <w:pPr>
              <w:ind w:left="-108" w:right="-108"/>
              <w:jc w:val="both"/>
            </w:pPr>
            <w:r>
              <w:t>Титульна сторінка</w:t>
            </w:r>
          </w:p>
        </w:tc>
        <w:tc>
          <w:tcPr>
            <w:tcW w:w="7655" w:type="dxa"/>
            <w:shd w:val="clear" w:color="auto" w:fill="auto"/>
            <w:vAlign w:val="center"/>
          </w:tcPr>
          <w:p w:rsidR="00A95916" w:rsidRPr="000A54EB" w:rsidRDefault="00A95916" w:rsidP="00A95916">
            <w:r w:rsidRPr="000A54EB">
              <w:rPr>
                <w:b/>
                <w:bCs/>
                <w:iCs/>
              </w:rPr>
              <w:t>ЗАТВЕРДЖЕНО</w:t>
            </w:r>
          </w:p>
          <w:p w:rsidR="00A95916" w:rsidRPr="000A54EB" w:rsidRDefault="00A95916" w:rsidP="00A95916">
            <w:r w:rsidRPr="000A54EB">
              <w:rPr>
                <w:bCs/>
                <w:iCs/>
              </w:rPr>
              <w:t>Рішенням уповноваженої особи</w:t>
            </w:r>
          </w:p>
          <w:p w:rsidR="00A95916" w:rsidRPr="000A54EB" w:rsidRDefault="00A95916" w:rsidP="00A95916">
            <w:r w:rsidRPr="000A54EB">
              <w:rPr>
                <w:bCs/>
                <w:iCs/>
              </w:rPr>
              <w:t>Протокол №72</w:t>
            </w:r>
          </w:p>
          <w:p w:rsidR="00A95916" w:rsidRPr="000A54EB" w:rsidRDefault="00A95916" w:rsidP="00A95916">
            <w:pPr>
              <w:rPr>
                <w:bCs/>
                <w:iCs/>
              </w:rPr>
            </w:pPr>
            <w:r w:rsidRPr="000A54EB">
              <w:rPr>
                <w:bCs/>
                <w:iCs/>
              </w:rPr>
              <w:t>від «26» квітня 2024 року</w:t>
            </w:r>
          </w:p>
          <w:p w:rsidR="00A95916" w:rsidRPr="000A54EB" w:rsidRDefault="00A95916" w:rsidP="00A95916">
            <w:pPr>
              <w:rPr>
                <w:bCs/>
                <w:iCs/>
              </w:rPr>
            </w:pPr>
            <w:r w:rsidRPr="000A54EB">
              <w:rPr>
                <w:bCs/>
                <w:iCs/>
              </w:rPr>
              <w:t>Уповноважена особа</w:t>
            </w:r>
          </w:p>
          <w:p w:rsidR="00A95916" w:rsidRPr="00A95916" w:rsidRDefault="00A95916" w:rsidP="00A95916">
            <w:pPr>
              <w:rPr>
                <w:b/>
                <w:lang w:val="ru-RU"/>
              </w:rPr>
            </w:pPr>
            <w:r w:rsidRPr="000A54EB">
              <w:rPr>
                <w:b/>
                <w:bCs/>
                <w:iCs/>
              </w:rPr>
              <w:t xml:space="preserve">_____________  </w:t>
            </w:r>
            <w:r w:rsidRPr="000A54EB">
              <w:rPr>
                <w:b/>
                <w:bCs/>
                <w:spacing w:val="1"/>
              </w:rPr>
              <w:t xml:space="preserve">Олег САМУНИК </w:t>
            </w:r>
          </w:p>
          <w:p w:rsidR="0094247B" w:rsidRPr="00A95916" w:rsidRDefault="0094247B" w:rsidP="009D48CB">
            <w:pPr>
              <w:jc w:val="both"/>
              <w:rPr>
                <w:b/>
                <w:sz w:val="18"/>
                <w:szCs w:val="18"/>
                <w:lang w:val="ru-RU"/>
              </w:rPr>
            </w:pPr>
          </w:p>
        </w:tc>
        <w:tc>
          <w:tcPr>
            <w:tcW w:w="7372" w:type="dxa"/>
          </w:tcPr>
          <w:p w:rsidR="00A95916" w:rsidRPr="000A54EB" w:rsidRDefault="00A95916" w:rsidP="00A95916">
            <w:r w:rsidRPr="000A54EB">
              <w:rPr>
                <w:b/>
                <w:bCs/>
                <w:iCs/>
              </w:rPr>
              <w:t>ЗАТВЕРДЖЕНО</w:t>
            </w:r>
            <w:r>
              <w:rPr>
                <w:b/>
                <w:bCs/>
                <w:iCs/>
              </w:rPr>
              <w:t xml:space="preserve"> зміни</w:t>
            </w:r>
          </w:p>
          <w:p w:rsidR="00A95916" w:rsidRPr="000A54EB" w:rsidRDefault="00A95916" w:rsidP="00A95916">
            <w:r w:rsidRPr="000A54EB">
              <w:rPr>
                <w:bCs/>
                <w:iCs/>
              </w:rPr>
              <w:t>Рішенням уповноваженої особи</w:t>
            </w:r>
          </w:p>
          <w:p w:rsidR="00A10171" w:rsidRPr="00DF3D26" w:rsidRDefault="00A10171" w:rsidP="00A10171">
            <w:r w:rsidRPr="00DF3D26">
              <w:rPr>
                <w:bCs/>
                <w:iCs/>
              </w:rPr>
              <w:t>Протокол №76</w:t>
            </w:r>
          </w:p>
          <w:p w:rsidR="00A10171" w:rsidRPr="00DF3D26" w:rsidRDefault="00A10171" w:rsidP="00A10171">
            <w:pPr>
              <w:rPr>
                <w:bCs/>
                <w:iCs/>
              </w:rPr>
            </w:pPr>
            <w:r w:rsidRPr="00DF3D26">
              <w:rPr>
                <w:bCs/>
                <w:iCs/>
              </w:rPr>
              <w:t>від «29» квітня 2024 року</w:t>
            </w:r>
          </w:p>
          <w:p w:rsidR="00A95916" w:rsidRPr="000A54EB" w:rsidRDefault="00A95916" w:rsidP="00A95916">
            <w:pPr>
              <w:rPr>
                <w:bCs/>
                <w:iCs/>
              </w:rPr>
            </w:pPr>
            <w:r w:rsidRPr="000A54EB">
              <w:rPr>
                <w:bCs/>
                <w:iCs/>
              </w:rPr>
              <w:t>Уповноважена особа</w:t>
            </w:r>
          </w:p>
          <w:p w:rsidR="00A95916" w:rsidRPr="00A95916" w:rsidRDefault="00A95916" w:rsidP="00A95916">
            <w:pPr>
              <w:rPr>
                <w:b/>
                <w:lang w:val="ru-RU"/>
              </w:rPr>
            </w:pPr>
            <w:r w:rsidRPr="000A54EB">
              <w:rPr>
                <w:b/>
                <w:bCs/>
                <w:iCs/>
              </w:rPr>
              <w:t xml:space="preserve">_____________  </w:t>
            </w:r>
            <w:r w:rsidRPr="000A54EB">
              <w:rPr>
                <w:b/>
                <w:bCs/>
                <w:spacing w:val="1"/>
              </w:rPr>
              <w:t xml:space="preserve">Олег САМУНИК </w:t>
            </w:r>
          </w:p>
          <w:p w:rsidR="0094247B" w:rsidRPr="00A95916" w:rsidRDefault="0094247B" w:rsidP="009D48CB">
            <w:pPr>
              <w:contextualSpacing/>
              <w:jc w:val="both"/>
              <w:rPr>
                <w:b/>
                <w:sz w:val="18"/>
                <w:szCs w:val="18"/>
                <w:lang w:val="ru-RU"/>
              </w:rPr>
            </w:pPr>
          </w:p>
        </w:tc>
      </w:tr>
      <w:tr w:rsidR="00933FD1" w:rsidRPr="00A10171" w:rsidTr="00C276E6">
        <w:trPr>
          <w:trHeight w:val="20"/>
        </w:trPr>
        <w:tc>
          <w:tcPr>
            <w:tcW w:w="1418" w:type="dxa"/>
            <w:vAlign w:val="center"/>
          </w:tcPr>
          <w:p w:rsidR="00933FD1" w:rsidRPr="0094247B" w:rsidRDefault="00A95916" w:rsidP="00933FD1">
            <w:pPr>
              <w:ind w:left="-108" w:right="-108"/>
              <w:jc w:val="both"/>
            </w:pPr>
            <w:r>
              <w:t>Титульна сторінка</w:t>
            </w:r>
          </w:p>
        </w:tc>
        <w:tc>
          <w:tcPr>
            <w:tcW w:w="7655" w:type="dxa"/>
            <w:shd w:val="clear" w:color="auto" w:fill="auto"/>
            <w:vAlign w:val="center"/>
          </w:tcPr>
          <w:p w:rsidR="00933FD1" w:rsidRPr="00933FD1" w:rsidRDefault="00A95916" w:rsidP="00A95916">
            <w:pPr>
              <w:spacing w:line="276" w:lineRule="auto"/>
              <w:ind w:firstLine="283"/>
              <w:jc w:val="center"/>
              <w:rPr>
                <w:szCs w:val="20"/>
                <w:lang w:eastAsia="uk-UA"/>
              </w:rPr>
            </w:pPr>
            <w:r>
              <w:rPr>
                <w:szCs w:val="20"/>
                <w:lang w:eastAsia="uk-UA"/>
              </w:rPr>
              <w:t>-</w:t>
            </w:r>
          </w:p>
        </w:tc>
        <w:tc>
          <w:tcPr>
            <w:tcW w:w="7372" w:type="dxa"/>
          </w:tcPr>
          <w:p w:rsidR="00A95916" w:rsidRPr="00A10171" w:rsidRDefault="00A95916" w:rsidP="00933FD1">
            <w:pPr>
              <w:spacing w:line="276" w:lineRule="auto"/>
              <w:ind w:firstLine="283"/>
              <w:jc w:val="both"/>
              <w:rPr>
                <w:szCs w:val="20"/>
                <w:lang w:eastAsia="uk-UA"/>
              </w:rPr>
            </w:pPr>
          </w:p>
          <w:p w:rsidR="00933FD1" w:rsidRPr="00A10171" w:rsidRDefault="00A95916" w:rsidP="00933FD1">
            <w:pPr>
              <w:spacing w:line="276" w:lineRule="auto"/>
              <w:ind w:firstLine="283"/>
              <w:jc w:val="both"/>
              <w:rPr>
                <w:szCs w:val="20"/>
                <w:lang w:eastAsia="uk-UA"/>
              </w:rPr>
            </w:pPr>
            <w:r w:rsidRPr="00A10171">
              <w:rPr>
                <w:szCs w:val="20"/>
                <w:lang w:eastAsia="uk-UA"/>
              </w:rPr>
              <w:t>(в новій редакції зі змінами від 29.04.2024 року)</w:t>
            </w:r>
          </w:p>
        </w:tc>
      </w:tr>
      <w:tr w:rsidR="00933FD1" w:rsidRPr="004210DF" w:rsidTr="00C276E6">
        <w:trPr>
          <w:trHeight w:val="20"/>
        </w:trPr>
        <w:tc>
          <w:tcPr>
            <w:tcW w:w="1418" w:type="dxa"/>
            <w:vAlign w:val="center"/>
          </w:tcPr>
          <w:p w:rsidR="00933FD1" w:rsidRPr="0094247B" w:rsidRDefault="00A95916" w:rsidP="00933FD1">
            <w:pPr>
              <w:ind w:left="-108" w:right="-108"/>
              <w:jc w:val="both"/>
            </w:pPr>
            <w:r>
              <w:t xml:space="preserve">В п. п. 3 п. </w:t>
            </w:r>
            <w:r w:rsidRPr="000A54EB">
              <w:rPr>
                <w:rFonts w:eastAsia="Andale Sans UI"/>
                <w:kern w:val="1"/>
              </w:rPr>
              <w:t>3.3.4.</w:t>
            </w:r>
            <w:r>
              <w:rPr>
                <w:rFonts w:eastAsia="Andale Sans UI"/>
                <w:kern w:val="1"/>
              </w:rPr>
              <w:t xml:space="preserve"> ч. 3 розділу ІІІ Тендерної документації</w:t>
            </w:r>
          </w:p>
        </w:tc>
        <w:tc>
          <w:tcPr>
            <w:tcW w:w="7655" w:type="dxa"/>
            <w:shd w:val="clear" w:color="auto" w:fill="auto"/>
            <w:vAlign w:val="center"/>
          </w:tcPr>
          <w:p w:rsidR="00933FD1" w:rsidRPr="00A10171" w:rsidRDefault="00A95916" w:rsidP="00A95916">
            <w:pPr>
              <w:shd w:val="clear" w:color="auto" w:fill="FFFFFF"/>
              <w:contextualSpacing/>
              <w:jc w:val="both"/>
              <w:rPr>
                <w:szCs w:val="18"/>
                <w:lang w:eastAsia="uk-UA"/>
              </w:rPr>
            </w:pPr>
            <w:r w:rsidRPr="00A10171">
              <w:rPr>
                <w:szCs w:val="18"/>
                <w:lang w:eastAsia="uk-UA"/>
              </w:rPr>
              <w:t>3) ненадання принципалом, який став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зазначених у підпунктах 3, 5, 6 і 12 та в абзаці чотирнадцятому пункту 47 Особливостей.</w:t>
            </w:r>
          </w:p>
        </w:tc>
        <w:tc>
          <w:tcPr>
            <w:tcW w:w="7372" w:type="dxa"/>
          </w:tcPr>
          <w:p w:rsidR="00933FD1" w:rsidRPr="00A10171" w:rsidRDefault="00A95916" w:rsidP="00A95916">
            <w:pPr>
              <w:shd w:val="clear" w:color="auto" w:fill="FFFFFF"/>
              <w:contextualSpacing/>
              <w:jc w:val="both"/>
              <w:rPr>
                <w:szCs w:val="18"/>
                <w:lang w:eastAsia="uk-UA"/>
              </w:rPr>
            </w:pPr>
            <w:r w:rsidRPr="00A10171">
              <w:rPr>
                <w:szCs w:val="18"/>
                <w:lang w:eastAsia="uk-UA"/>
              </w:rPr>
              <w:t>3) ненадання принципалом, який став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зазначених у підпунктах 3, 5, 6 і 12 пункту 47 Особливостей.</w:t>
            </w:r>
          </w:p>
        </w:tc>
      </w:tr>
    </w:tbl>
    <w:p w:rsidR="00FC5C37" w:rsidRDefault="00FC5C37" w:rsidP="008D3271">
      <w:pPr>
        <w:shd w:val="clear" w:color="auto" w:fill="FFFFFF"/>
        <w:tabs>
          <w:tab w:val="left" w:pos="720"/>
        </w:tabs>
        <w:rPr>
          <w:b/>
        </w:rPr>
      </w:pPr>
    </w:p>
    <w:p w:rsidR="00FC5C37" w:rsidRDefault="00FC5C37" w:rsidP="008D3271">
      <w:pPr>
        <w:shd w:val="clear" w:color="auto" w:fill="FFFFFF"/>
        <w:tabs>
          <w:tab w:val="left" w:pos="720"/>
        </w:tabs>
        <w:rPr>
          <w:b/>
        </w:rPr>
      </w:pPr>
    </w:p>
    <w:p w:rsidR="00A95916" w:rsidRDefault="00FC5C37" w:rsidP="008D3271">
      <w:pPr>
        <w:shd w:val="clear" w:color="auto" w:fill="FFFFFF"/>
        <w:tabs>
          <w:tab w:val="left" w:pos="720"/>
        </w:tabs>
        <w:rPr>
          <w:b/>
        </w:rPr>
      </w:pPr>
      <w:r>
        <w:rPr>
          <w:b/>
        </w:rPr>
        <w:tab/>
      </w:r>
      <w:r>
        <w:rPr>
          <w:b/>
        </w:rPr>
        <w:tab/>
      </w:r>
    </w:p>
    <w:p w:rsidR="008D3271" w:rsidRPr="004210DF" w:rsidRDefault="00DD40DC" w:rsidP="008D3271">
      <w:pPr>
        <w:shd w:val="clear" w:color="auto" w:fill="FFFFFF"/>
        <w:tabs>
          <w:tab w:val="left" w:pos="720"/>
        </w:tabs>
        <w:rPr>
          <w:b/>
        </w:rPr>
      </w:pPr>
      <w:r>
        <w:rPr>
          <w:b/>
        </w:rPr>
        <w:t>Уповноважена особа</w:t>
      </w:r>
      <w:r>
        <w:rPr>
          <w:b/>
        </w:rPr>
        <w:tab/>
      </w:r>
      <w:r w:rsidR="0094247B">
        <w:rPr>
          <w:b/>
        </w:rPr>
        <w:tab/>
      </w:r>
      <w:r w:rsidR="0094247B">
        <w:rPr>
          <w:b/>
        </w:rPr>
        <w:tab/>
      </w:r>
      <w:r w:rsidR="009D48CB">
        <w:rPr>
          <w:b/>
        </w:rPr>
        <w:tab/>
      </w:r>
      <w:r w:rsidR="008D3271" w:rsidRPr="004210DF">
        <w:rPr>
          <w:b/>
          <w:bCs/>
          <w:spacing w:val="1"/>
        </w:rPr>
        <w:t xml:space="preserve">_____________ </w:t>
      </w:r>
      <w:r w:rsidR="008D3271" w:rsidRPr="004210DF">
        <w:rPr>
          <w:b/>
          <w:bCs/>
          <w:spacing w:val="1"/>
        </w:rPr>
        <w:tab/>
      </w:r>
      <w:r w:rsidR="0094247B">
        <w:rPr>
          <w:b/>
          <w:bCs/>
          <w:spacing w:val="1"/>
        </w:rPr>
        <w:tab/>
      </w:r>
      <w:r w:rsidR="0094247B">
        <w:rPr>
          <w:b/>
          <w:bCs/>
          <w:spacing w:val="1"/>
        </w:rPr>
        <w:tab/>
      </w:r>
      <w:r w:rsidR="0094247B">
        <w:rPr>
          <w:b/>
          <w:bCs/>
          <w:spacing w:val="1"/>
        </w:rPr>
        <w:tab/>
      </w:r>
      <w:r w:rsidR="0094247B">
        <w:rPr>
          <w:b/>
          <w:bCs/>
          <w:spacing w:val="1"/>
        </w:rPr>
        <w:tab/>
      </w:r>
      <w:r w:rsidR="0094247B">
        <w:rPr>
          <w:b/>
          <w:bCs/>
          <w:spacing w:val="1"/>
        </w:rPr>
        <w:tab/>
      </w:r>
      <w:r w:rsidR="00A95916">
        <w:rPr>
          <w:b/>
          <w:bCs/>
          <w:spacing w:val="1"/>
        </w:rPr>
        <w:t>Олег САМУНИК</w:t>
      </w:r>
    </w:p>
    <w:p w:rsidR="00732F4D" w:rsidRPr="004210DF" w:rsidRDefault="007311E9" w:rsidP="00917E62">
      <w:pPr>
        <w:shd w:val="clear" w:color="auto" w:fill="FFFFFF"/>
        <w:tabs>
          <w:tab w:val="left" w:pos="720"/>
        </w:tabs>
        <w:rPr>
          <w:b/>
          <w:bCs/>
          <w:spacing w:val="1"/>
        </w:rPr>
      </w:pPr>
      <w:r w:rsidRPr="004210DF">
        <w:rPr>
          <w:b/>
          <w:bCs/>
          <w:spacing w:val="1"/>
        </w:rPr>
        <w:tab/>
      </w:r>
      <w:r w:rsidRPr="004210DF">
        <w:rPr>
          <w:b/>
          <w:bCs/>
          <w:spacing w:val="1"/>
        </w:rPr>
        <w:tab/>
      </w:r>
      <w:r w:rsidRPr="004210DF">
        <w:rPr>
          <w:b/>
          <w:bCs/>
          <w:spacing w:val="1"/>
        </w:rPr>
        <w:tab/>
      </w:r>
      <w:r w:rsidRPr="004210DF">
        <w:rPr>
          <w:b/>
          <w:bCs/>
          <w:spacing w:val="1"/>
        </w:rPr>
        <w:tab/>
      </w:r>
      <w:r w:rsidRPr="004210DF">
        <w:rPr>
          <w:b/>
          <w:bCs/>
          <w:spacing w:val="1"/>
        </w:rPr>
        <w:tab/>
      </w:r>
      <w:r w:rsidR="0094247B">
        <w:rPr>
          <w:b/>
          <w:bCs/>
          <w:spacing w:val="1"/>
        </w:rPr>
        <w:tab/>
      </w:r>
      <w:r w:rsidR="0094247B">
        <w:rPr>
          <w:b/>
          <w:bCs/>
          <w:spacing w:val="1"/>
        </w:rPr>
        <w:tab/>
      </w:r>
      <w:r w:rsidR="0094247B">
        <w:rPr>
          <w:b/>
          <w:bCs/>
          <w:spacing w:val="1"/>
        </w:rPr>
        <w:tab/>
      </w:r>
      <w:proofErr w:type="spellStart"/>
      <w:r w:rsidR="008D3271" w:rsidRPr="004210DF">
        <w:rPr>
          <w:b/>
          <w:bCs/>
          <w:spacing w:val="1"/>
        </w:rPr>
        <w:t>м.п</w:t>
      </w:r>
      <w:proofErr w:type="spellEnd"/>
      <w:r w:rsidR="008D3271" w:rsidRPr="004210DF">
        <w:rPr>
          <w:b/>
          <w:bCs/>
          <w:spacing w:val="1"/>
        </w:rPr>
        <w:t>.</w:t>
      </w:r>
    </w:p>
    <w:sectPr w:rsidR="00732F4D" w:rsidRPr="004210DF" w:rsidSect="002271D0">
      <w:pgSz w:w="16838" w:h="11906" w:orient="landscape"/>
      <w:pgMar w:top="426" w:right="720" w:bottom="426"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271"/>
    <w:rsid w:val="00004C3B"/>
    <w:rsid w:val="000050C0"/>
    <w:rsid w:val="00021C0A"/>
    <w:rsid w:val="0004036E"/>
    <w:rsid w:val="00051D2D"/>
    <w:rsid w:val="00083059"/>
    <w:rsid w:val="000B0FBF"/>
    <w:rsid w:val="000F43AD"/>
    <w:rsid w:val="00103B01"/>
    <w:rsid w:val="0010777D"/>
    <w:rsid w:val="001131E1"/>
    <w:rsid w:val="001138C4"/>
    <w:rsid w:val="00120262"/>
    <w:rsid w:val="0012397E"/>
    <w:rsid w:val="00141954"/>
    <w:rsid w:val="00174CD0"/>
    <w:rsid w:val="001C0CCB"/>
    <w:rsid w:val="001C1CB4"/>
    <w:rsid w:val="001D4848"/>
    <w:rsid w:val="001E43B4"/>
    <w:rsid w:val="001F55A0"/>
    <w:rsid w:val="002116C8"/>
    <w:rsid w:val="002271D0"/>
    <w:rsid w:val="00237659"/>
    <w:rsid w:val="002523E7"/>
    <w:rsid w:val="00256FCF"/>
    <w:rsid w:val="002A2671"/>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30D82"/>
    <w:rsid w:val="00487F19"/>
    <w:rsid w:val="004924A9"/>
    <w:rsid w:val="0049446D"/>
    <w:rsid w:val="004B71E5"/>
    <w:rsid w:val="004E24AC"/>
    <w:rsid w:val="00502010"/>
    <w:rsid w:val="005235DC"/>
    <w:rsid w:val="0056610B"/>
    <w:rsid w:val="005D2E95"/>
    <w:rsid w:val="005E38E8"/>
    <w:rsid w:val="00637112"/>
    <w:rsid w:val="0064090C"/>
    <w:rsid w:val="00661670"/>
    <w:rsid w:val="00661C89"/>
    <w:rsid w:val="006C752B"/>
    <w:rsid w:val="006D0CAA"/>
    <w:rsid w:val="00722404"/>
    <w:rsid w:val="007311E9"/>
    <w:rsid w:val="00732F4D"/>
    <w:rsid w:val="007400F2"/>
    <w:rsid w:val="00740FF0"/>
    <w:rsid w:val="0075324E"/>
    <w:rsid w:val="007820A2"/>
    <w:rsid w:val="007D7A4D"/>
    <w:rsid w:val="007F6CC9"/>
    <w:rsid w:val="00800738"/>
    <w:rsid w:val="00807859"/>
    <w:rsid w:val="00815A8A"/>
    <w:rsid w:val="008215E0"/>
    <w:rsid w:val="00845E21"/>
    <w:rsid w:val="00874822"/>
    <w:rsid w:val="008957F2"/>
    <w:rsid w:val="008B5CE8"/>
    <w:rsid w:val="008D3271"/>
    <w:rsid w:val="008E47E9"/>
    <w:rsid w:val="0091401F"/>
    <w:rsid w:val="00916334"/>
    <w:rsid w:val="00917E62"/>
    <w:rsid w:val="00932211"/>
    <w:rsid w:val="00933FD1"/>
    <w:rsid w:val="0094247B"/>
    <w:rsid w:val="009705DF"/>
    <w:rsid w:val="00976967"/>
    <w:rsid w:val="009819EE"/>
    <w:rsid w:val="009822A9"/>
    <w:rsid w:val="00994861"/>
    <w:rsid w:val="009A7F22"/>
    <w:rsid w:val="009C73E1"/>
    <w:rsid w:val="009D48CB"/>
    <w:rsid w:val="009E6795"/>
    <w:rsid w:val="00A10171"/>
    <w:rsid w:val="00A24DB4"/>
    <w:rsid w:val="00A27F4C"/>
    <w:rsid w:val="00A441F5"/>
    <w:rsid w:val="00A83C45"/>
    <w:rsid w:val="00A86111"/>
    <w:rsid w:val="00A95916"/>
    <w:rsid w:val="00AB71BB"/>
    <w:rsid w:val="00AC7304"/>
    <w:rsid w:val="00AF49AE"/>
    <w:rsid w:val="00B228EE"/>
    <w:rsid w:val="00B56D48"/>
    <w:rsid w:val="00B97EF6"/>
    <w:rsid w:val="00BD414B"/>
    <w:rsid w:val="00C276E6"/>
    <w:rsid w:val="00C86D12"/>
    <w:rsid w:val="00C9049B"/>
    <w:rsid w:val="00C9455C"/>
    <w:rsid w:val="00CA1A8B"/>
    <w:rsid w:val="00CC5676"/>
    <w:rsid w:val="00CF6793"/>
    <w:rsid w:val="00D03589"/>
    <w:rsid w:val="00D17B92"/>
    <w:rsid w:val="00DC57B4"/>
    <w:rsid w:val="00DD40DC"/>
    <w:rsid w:val="00DE4E7F"/>
    <w:rsid w:val="00E02AFE"/>
    <w:rsid w:val="00E422BC"/>
    <w:rsid w:val="00E56148"/>
    <w:rsid w:val="00E67289"/>
    <w:rsid w:val="00E71699"/>
    <w:rsid w:val="00E91417"/>
    <w:rsid w:val="00EA6930"/>
    <w:rsid w:val="00EA71FA"/>
    <w:rsid w:val="00EB05AC"/>
    <w:rsid w:val="00EE479C"/>
    <w:rsid w:val="00F134B7"/>
    <w:rsid w:val="00F4450E"/>
    <w:rsid w:val="00F50EFC"/>
    <w:rsid w:val="00F64EF8"/>
    <w:rsid w:val="00F95C34"/>
    <w:rsid w:val="00FA24BE"/>
    <w:rsid w:val="00FB3765"/>
    <w:rsid w:val="00FB4EE8"/>
    <w:rsid w:val="00FC5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rPr>
  </w:style>
  <w:style w:type="character" w:customStyle="1" w:styleId="af3">
    <w:name w:val="Верхний колонтитул Знак"/>
    <w:basedOn w:val="a0"/>
    <w:link w:val="af2"/>
    <w:uiPriority w:val="99"/>
    <w:rsid w:val="00CC5676"/>
    <w:rPr>
      <w:rFonts w:eastAsia="Times New Roman"/>
      <w:sz w:val="22"/>
      <w:szCs w:val="22"/>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A95B-0895-4111-9225-855DADBB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 Windows</cp:lastModifiedBy>
  <cp:revision>3</cp:revision>
  <cp:lastPrinted>2024-03-14T10:40:00Z</cp:lastPrinted>
  <dcterms:created xsi:type="dcterms:W3CDTF">2024-04-29T13:36:00Z</dcterms:created>
  <dcterms:modified xsi:type="dcterms:W3CDTF">2024-04-29T14:01:00Z</dcterms:modified>
</cp:coreProperties>
</file>