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B53B2F" w:rsidRPr="00B53B2F">
              <w:rPr>
                <w:rFonts w:ascii="Times New Roman" w:hAnsi="Times New Roman"/>
                <w:sz w:val="24"/>
                <w:szCs w:val="24"/>
              </w:rPr>
              <w:t>4</w:t>
            </w:r>
            <w:r w:rsidR="00F60663">
              <w:rPr>
                <w:rFonts w:ascii="Times New Roman" w:hAnsi="Times New Roman"/>
                <w:sz w:val="24"/>
                <w:szCs w:val="24"/>
              </w:rPr>
              <w:t>9</w:t>
            </w:r>
            <w:r w:rsidRPr="00B53B2F">
              <w:rPr>
                <w:rFonts w:ascii="Times New Roman" w:hAnsi="Times New Roman"/>
                <w:sz w:val="24"/>
                <w:szCs w:val="24"/>
              </w:rPr>
              <w:t xml:space="preserve"> від</w:t>
            </w:r>
            <w:r w:rsidR="00FA1C8B" w:rsidRPr="00B53B2F">
              <w:rPr>
                <w:rFonts w:ascii="Times New Roman" w:hAnsi="Times New Roman"/>
                <w:sz w:val="24"/>
                <w:szCs w:val="24"/>
              </w:rPr>
              <w:t xml:space="preserve"> </w:t>
            </w:r>
            <w:r w:rsidR="00F60663">
              <w:rPr>
                <w:rFonts w:ascii="Times New Roman" w:hAnsi="Times New Roman"/>
                <w:sz w:val="24"/>
                <w:szCs w:val="24"/>
              </w:rPr>
              <w:t>04.08.2022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E4E5E" w:rsidRDefault="00916A9E" w:rsidP="003726C7">
      <w:pPr>
        <w:spacing w:after="0" w:line="240" w:lineRule="auto"/>
        <w:jc w:val="center"/>
        <w:rPr>
          <w:rFonts w:ascii="Times New Roman" w:hAnsi="Times New Roman"/>
          <w:sz w:val="24"/>
          <w:szCs w:val="24"/>
        </w:rPr>
      </w:pPr>
      <w:bookmarkStart w:id="0" w:name="n33"/>
      <w:bookmarkEnd w:id="0"/>
      <w:r w:rsidRPr="002E4E5E">
        <w:rPr>
          <w:rFonts w:ascii="Times New Roman" w:hAnsi="Times New Roman"/>
          <w:sz w:val="24"/>
          <w:szCs w:val="24"/>
        </w:rPr>
        <w:t>Предмет закупівлі</w:t>
      </w:r>
    </w:p>
    <w:p w:rsidR="00780941" w:rsidRPr="00956619" w:rsidRDefault="00804705" w:rsidP="00780941">
      <w:pPr>
        <w:spacing w:after="0" w:line="240" w:lineRule="auto"/>
        <w:rPr>
          <w:rFonts w:ascii="Times New Roman" w:hAnsi="Times New Roman"/>
        </w:rPr>
      </w:pPr>
      <w:r>
        <w:rPr>
          <w:rFonts w:ascii="Times New Roman" w:hAnsi="Times New Roman"/>
        </w:rPr>
        <w:t xml:space="preserve">   </w:t>
      </w:r>
      <w:r w:rsidRPr="006D1CD5">
        <w:rPr>
          <w:rFonts w:ascii="Times New Roman" w:hAnsi="Times New Roman"/>
        </w:rPr>
        <w:t xml:space="preserve"> Код згідно основного словника національного класифікатора України ДК 021:2015 "Єди</w:t>
      </w:r>
      <w:r w:rsidR="00BE24CF">
        <w:rPr>
          <w:rFonts w:ascii="Times New Roman" w:hAnsi="Times New Roman"/>
        </w:rPr>
        <w:t>ний закупівельний словник"(CPV).</w:t>
      </w:r>
      <w:r w:rsidR="00780941" w:rsidRPr="00780941">
        <w:rPr>
          <w:rFonts w:ascii="Times New Roman" w:eastAsia="Times New Roman" w:hAnsi="Times New Roman"/>
          <w:b/>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Default="00B547DE" w:rsidP="00F60663">
      <w:pPr>
        <w:spacing w:after="0" w:line="240" w:lineRule="auto"/>
        <w:jc w:val="center"/>
        <w:rPr>
          <w:rFonts w:ascii="Times New Roman" w:eastAsia="Times New Roman" w:hAnsi="Times New Roman"/>
          <w:b/>
          <w:lang w:eastAsia="uk-UA"/>
        </w:rPr>
      </w:pPr>
      <w:r w:rsidRPr="00B547DE">
        <w:rPr>
          <w:rStyle w:val="rvts0"/>
          <w:rFonts w:ascii="Times New Roman" w:hAnsi="Times New Roman"/>
          <w:b/>
        </w:rPr>
        <w:t xml:space="preserve">Код за </w:t>
      </w:r>
      <w:r w:rsidRPr="00B547DE">
        <w:rPr>
          <w:rFonts w:ascii="Times New Roman" w:eastAsia="Times New Roman" w:hAnsi="Times New Roman"/>
          <w:b/>
          <w:lang w:eastAsia="uk-UA"/>
        </w:rPr>
        <w:t>ДК 021:2015  33600000-6 Фармацевтична продукція</w:t>
      </w:r>
    </w:p>
    <w:p w:rsidR="00582136" w:rsidRPr="00B547DE" w:rsidRDefault="00582136" w:rsidP="00951958">
      <w:pPr>
        <w:spacing w:after="0" w:line="240" w:lineRule="auto"/>
        <w:jc w:val="both"/>
        <w:rPr>
          <w:rFonts w:ascii="Times New Roman" w:hAnsi="Times New Roman"/>
          <w:b/>
          <w:sz w:val="24"/>
          <w:szCs w:val="24"/>
          <w:lang w:eastAsia="uk-UA"/>
        </w:rPr>
      </w:pPr>
    </w:p>
    <w:p w:rsidR="00F60663" w:rsidRDefault="00E83DE8" w:rsidP="00F60663">
      <w:pPr>
        <w:pStyle w:val="a7"/>
        <w:ind w:left="360"/>
        <w:jc w:val="both"/>
        <w:rPr>
          <w:rFonts w:ascii="Times New Roman" w:eastAsia="Times New Roman" w:hAnsi="Times New Roman"/>
          <w:color w:val="000000"/>
          <w:sz w:val="24"/>
          <w:szCs w:val="24"/>
        </w:rPr>
      </w:pPr>
      <w:r w:rsidRPr="00F60663">
        <w:rPr>
          <w:rFonts w:ascii="Times New Roman" w:hAnsi="Times New Roman"/>
          <w:b/>
          <w:sz w:val="24"/>
          <w:szCs w:val="24"/>
        </w:rPr>
        <w:t>Лікарські засоби</w:t>
      </w:r>
      <w:r w:rsidR="00F60663" w:rsidRPr="00F60663">
        <w:rPr>
          <w:rFonts w:ascii="Times New Roman" w:hAnsi="Times New Roman"/>
          <w:b/>
          <w:sz w:val="24"/>
          <w:szCs w:val="24"/>
        </w:rPr>
        <w:t>:</w:t>
      </w:r>
      <w:r w:rsidRPr="00F60663">
        <w:rPr>
          <w:rFonts w:ascii="Times New Roman" w:hAnsi="Times New Roman"/>
          <w:b/>
          <w:sz w:val="24"/>
          <w:szCs w:val="24"/>
        </w:rPr>
        <w:t xml:space="preserve"> </w:t>
      </w:r>
      <w:proofErr w:type="spellStart"/>
      <w:r w:rsidR="00F60663" w:rsidRPr="00F60663">
        <w:rPr>
          <w:rFonts w:ascii="Times New Roman" w:hAnsi="Times New Roman"/>
          <w:b/>
          <w:sz w:val="24"/>
          <w:szCs w:val="24"/>
        </w:rPr>
        <w:t>Актилізе</w:t>
      </w:r>
      <w:proofErr w:type="spellEnd"/>
      <w:r w:rsidR="00F60663" w:rsidRPr="00F60663">
        <w:rPr>
          <w:rFonts w:ascii="Times New Roman" w:hAnsi="Times New Roman"/>
          <w:b/>
          <w:sz w:val="24"/>
          <w:szCs w:val="24"/>
        </w:rPr>
        <w:t xml:space="preserve"> </w:t>
      </w:r>
      <w:r w:rsidR="00F60663" w:rsidRPr="00F60663">
        <w:rPr>
          <w:rFonts w:ascii="Times New Roman" w:hAnsi="Times New Roman"/>
          <w:sz w:val="24"/>
          <w:szCs w:val="24"/>
        </w:rPr>
        <w:t>(</w:t>
      </w:r>
      <w:r w:rsidR="002B4FA1">
        <w:rPr>
          <w:rFonts w:ascii="Times New Roman" w:hAnsi="Times New Roman"/>
          <w:sz w:val="24"/>
          <w:szCs w:val="24"/>
        </w:rPr>
        <w:t xml:space="preserve">код </w:t>
      </w:r>
      <w:r w:rsidR="00F60663" w:rsidRPr="00F60663">
        <w:rPr>
          <w:rFonts w:ascii="Times New Roman" w:hAnsi="Times New Roman"/>
          <w:sz w:val="24"/>
          <w:szCs w:val="24"/>
        </w:rPr>
        <w:t>ДК 021:2015</w:t>
      </w:r>
      <w:r w:rsidR="00F60663" w:rsidRPr="00F60663">
        <w:rPr>
          <w:sz w:val="24"/>
          <w:szCs w:val="24"/>
        </w:rPr>
        <w:t xml:space="preserve"> </w:t>
      </w:r>
      <w:r w:rsidR="00F60663" w:rsidRPr="00F60663">
        <w:rPr>
          <w:rFonts w:ascii="Times New Roman" w:eastAsia="Times New Roman" w:hAnsi="Times New Roman"/>
          <w:color w:val="000000"/>
          <w:sz w:val="24"/>
          <w:szCs w:val="24"/>
        </w:rPr>
        <w:t xml:space="preserve">33621100-0-протитромбозні засоби), </w:t>
      </w:r>
    </w:p>
    <w:p w:rsidR="00F60663" w:rsidRDefault="00F60663" w:rsidP="00F60663">
      <w:pPr>
        <w:pStyle w:val="a7"/>
        <w:ind w:left="360"/>
        <w:jc w:val="center"/>
        <w:rPr>
          <w:rFonts w:ascii="Times New Roman" w:hAnsi="Times New Roman"/>
          <w:b/>
          <w:sz w:val="24"/>
          <w:szCs w:val="24"/>
          <w:lang w:eastAsia="ru-RU"/>
        </w:rPr>
      </w:pPr>
    </w:p>
    <w:p w:rsidR="00F60663" w:rsidRPr="00F60663" w:rsidRDefault="00F60663" w:rsidP="00F60663">
      <w:pPr>
        <w:pStyle w:val="a7"/>
        <w:ind w:left="360"/>
        <w:jc w:val="center"/>
        <w:rPr>
          <w:rFonts w:ascii="Times New Roman" w:hAnsi="Times New Roman"/>
          <w:sz w:val="24"/>
          <w:szCs w:val="24"/>
        </w:rPr>
      </w:pPr>
      <w:proofErr w:type="spellStart"/>
      <w:r w:rsidRPr="00F60663">
        <w:rPr>
          <w:rFonts w:ascii="Times New Roman" w:hAnsi="Times New Roman"/>
          <w:b/>
          <w:sz w:val="24"/>
          <w:szCs w:val="24"/>
          <w:lang w:eastAsia="ru-RU"/>
        </w:rPr>
        <w:t>Code</w:t>
      </w:r>
      <w:proofErr w:type="spellEnd"/>
      <w:r w:rsidRPr="00F60663">
        <w:rPr>
          <w:rFonts w:ascii="Times New Roman" w:hAnsi="Times New Roman"/>
          <w:b/>
          <w:sz w:val="24"/>
          <w:szCs w:val="24"/>
          <w:lang w:eastAsia="ru-RU"/>
        </w:rPr>
        <w:t xml:space="preserve"> </w:t>
      </w:r>
      <w:proofErr w:type="spellStart"/>
      <w:r w:rsidRPr="00F60663">
        <w:rPr>
          <w:rFonts w:ascii="Times New Roman" w:hAnsi="Times New Roman"/>
          <w:b/>
          <w:sz w:val="24"/>
          <w:szCs w:val="24"/>
          <w:lang w:eastAsia="ru-RU"/>
        </w:rPr>
        <w:t>for</w:t>
      </w:r>
      <w:proofErr w:type="spellEnd"/>
      <w:r w:rsidRPr="00F60663">
        <w:rPr>
          <w:rFonts w:ascii="Times New Roman" w:hAnsi="Times New Roman"/>
          <w:b/>
          <w:sz w:val="24"/>
          <w:szCs w:val="24"/>
          <w:lang w:eastAsia="ru-RU"/>
        </w:rPr>
        <w:t xml:space="preserve"> </w:t>
      </w:r>
      <w:r w:rsidRPr="00F60663">
        <w:rPr>
          <w:rFonts w:ascii="Times New Roman" w:hAnsi="Times New Roman"/>
          <w:b/>
          <w:sz w:val="24"/>
          <w:szCs w:val="24"/>
        </w:rPr>
        <w:t>DK 021: 2015 336</w:t>
      </w:r>
      <w:r>
        <w:rPr>
          <w:rFonts w:ascii="Times New Roman" w:hAnsi="Times New Roman"/>
          <w:b/>
          <w:sz w:val="24"/>
          <w:szCs w:val="24"/>
        </w:rPr>
        <w:t xml:space="preserve">00000-6 </w:t>
      </w:r>
      <w:proofErr w:type="spellStart"/>
      <w:r>
        <w:rPr>
          <w:rFonts w:ascii="Times New Roman" w:hAnsi="Times New Roman"/>
          <w:b/>
          <w:sz w:val="24"/>
          <w:szCs w:val="24"/>
        </w:rPr>
        <w:t>Pharmaceutical</w:t>
      </w:r>
      <w:proofErr w:type="spellEnd"/>
      <w:r>
        <w:rPr>
          <w:rFonts w:ascii="Times New Roman" w:hAnsi="Times New Roman"/>
          <w:b/>
          <w:sz w:val="24"/>
          <w:szCs w:val="24"/>
        </w:rPr>
        <w:t xml:space="preserve"> </w:t>
      </w:r>
      <w:proofErr w:type="spellStart"/>
      <w:r>
        <w:rPr>
          <w:rFonts w:ascii="Times New Roman" w:hAnsi="Times New Roman"/>
          <w:b/>
          <w:sz w:val="24"/>
          <w:szCs w:val="24"/>
        </w:rPr>
        <w:t>products</w:t>
      </w:r>
      <w:proofErr w:type="spellEnd"/>
    </w:p>
    <w:p w:rsidR="00F60663" w:rsidRDefault="00F60663" w:rsidP="00F60663">
      <w:pPr>
        <w:pStyle w:val="a7"/>
        <w:ind w:left="360"/>
        <w:jc w:val="center"/>
        <w:rPr>
          <w:rFonts w:ascii="Times New Roman" w:eastAsia="Times New Roman" w:hAnsi="Times New Roman"/>
          <w:sz w:val="24"/>
          <w:szCs w:val="24"/>
        </w:rPr>
      </w:pPr>
    </w:p>
    <w:p w:rsidR="00F60663" w:rsidRPr="00F60663" w:rsidRDefault="00F60663" w:rsidP="00F60663">
      <w:pPr>
        <w:pStyle w:val="a7"/>
        <w:ind w:left="360"/>
        <w:jc w:val="both"/>
        <w:rPr>
          <w:rFonts w:ascii="Times New Roman" w:hAnsi="Times New Roman"/>
          <w:sz w:val="24"/>
          <w:szCs w:val="24"/>
        </w:rPr>
      </w:pPr>
      <w:r w:rsidRPr="00C61AC8">
        <w:rPr>
          <w:rFonts w:ascii="inherit" w:hAnsi="inherit"/>
          <w:b/>
          <w:color w:val="202124"/>
          <w:sz w:val="26"/>
          <w:szCs w:val="26"/>
          <w:lang w:val="en" w:eastAsia="ru-RU"/>
        </w:rPr>
        <w:t>Medicines</w:t>
      </w:r>
      <w:r w:rsidRPr="00C61AC8">
        <w:rPr>
          <w:rFonts w:ascii="Times New Roman" w:hAnsi="Times New Roman"/>
          <w:sz w:val="26"/>
          <w:szCs w:val="26"/>
        </w:rPr>
        <w:t xml:space="preserve">: </w:t>
      </w:r>
      <w:proofErr w:type="spellStart"/>
      <w:r w:rsidRPr="00F60663">
        <w:rPr>
          <w:rFonts w:ascii="Times New Roman" w:hAnsi="Times New Roman"/>
          <w:b/>
          <w:sz w:val="24"/>
          <w:szCs w:val="24"/>
          <w:lang w:val="en-US"/>
        </w:rPr>
        <w:t>Alteplase</w:t>
      </w:r>
      <w:proofErr w:type="spellEnd"/>
      <w:r w:rsidRPr="00F60663">
        <w:rPr>
          <w:rFonts w:ascii="Times New Roman" w:hAnsi="Times New Roman"/>
          <w:sz w:val="24"/>
          <w:szCs w:val="24"/>
        </w:rPr>
        <w:t xml:space="preserve"> (</w:t>
      </w:r>
      <w:proofErr w:type="spellStart"/>
      <w:r w:rsidR="00932099" w:rsidRPr="00932099">
        <w:rPr>
          <w:rFonts w:ascii="Times New Roman" w:hAnsi="Times New Roman"/>
          <w:lang w:eastAsia="ru-RU"/>
        </w:rPr>
        <w:t>Code</w:t>
      </w:r>
      <w:proofErr w:type="spellEnd"/>
      <w:r w:rsidR="00932099" w:rsidRPr="00932099">
        <w:rPr>
          <w:rFonts w:ascii="Times New Roman" w:hAnsi="Times New Roman"/>
          <w:lang w:eastAsia="ru-RU"/>
        </w:rPr>
        <w:t xml:space="preserve"> </w:t>
      </w:r>
      <w:proofErr w:type="spellStart"/>
      <w:r w:rsidR="00932099" w:rsidRPr="00932099">
        <w:rPr>
          <w:rFonts w:ascii="Times New Roman" w:hAnsi="Times New Roman"/>
          <w:lang w:eastAsia="ru-RU"/>
        </w:rPr>
        <w:t>for</w:t>
      </w:r>
      <w:proofErr w:type="spellEnd"/>
      <w:r w:rsidR="00932099" w:rsidRPr="00932099">
        <w:rPr>
          <w:rFonts w:ascii="Times New Roman" w:hAnsi="Times New Roman"/>
          <w:lang w:eastAsia="ru-RU"/>
        </w:rPr>
        <w:t xml:space="preserve"> </w:t>
      </w:r>
      <w:r w:rsidR="00932099" w:rsidRPr="00932099">
        <w:rPr>
          <w:rFonts w:ascii="Times New Roman" w:hAnsi="Times New Roman"/>
        </w:rPr>
        <w:t>DK</w:t>
      </w:r>
      <w:r w:rsidR="00932099" w:rsidRPr="006A15D9">
        <w:rPr>
          <w:rFonts w:ascii="Times New Roman" w:hAnsi="Times New Roman"/>
          <w:b/>
        </w:rPr>
        <w:t xml:space="preserve"> </w:t>
      </w:r>
      <w:r w:rsidRPr="00F60663">
        <w:rPr>
          <w:rFonts w:ascii="Times New Roman" w:hAnsi="Times New Roman"/>
          <w:sz w:val="24"/>
          <w:szCs w:val="24"/>
        </w:rPr>
        <w:t xml:space="preserve">021:2015 </w:t>
      </w:r>
      <w:r w:rsidRPr="00F60663">
        <w:rPr>
          <w:rFonts w:ascii="Times New Roman" w:hAnsi="Times New Roman"/>
          <w:color w:val="000000"/>
          <w:sz w:val="24"/>
          <w:szCs w:val="24"/>
        </w:rPr>
        <w:t>33621100-0-</w:t>
      </w:r>
      <w:r w:rsidRPr="00F60663">
        <w:rPr>
          <w:rFonts w:ascii="inherit" w:hAnsi="inherit"/>
          <w:color w:val="202124"/>
          <w:sz w:val="24"/>
          <w:szCs w:val="24"/>
        </w:rPr>
        <w:t xml:space="preserve"> </w:t>
      </w:r>
      <w:r w:rsidRPr="00F60663">
        <w:rPr>
          <w:rFonts w:ascii="Times New Roman" w:hAnsi="Times New Roman"/>
          <w:color w:val="202124"/>
          <w:sz w:val="24"/>
          <w:szCs w:val="24"/>
          <w:lang w:val="en" w:eastAsia="ru-RU"/>
        </w:rPr>
        <w:t>antithrombotic</w:t>
      </w:r>
      <w:r w:rsidRPr="00F60663">
        <w:rPr>
          <w:rFonts w:ascii="Times New Roman" w:hAnsi="Times New Roman"/>
          <w:color w:val="202124"/>
          <w:sz w:val="24"/>
          <w:szCs w:val="24"/>
          <w:lang w:eastAsia="ru-RU"/>
        </w:rPr>
        <w:t xml:space="preserve"> </w:t>
      </w:r>
      <w:r w:rsidRPr="00F60663">
        <w:rPr>
          <w:rFonts w:ascii="Times New Roman" w:hAnsi="Times New Roman"/>
          <w:color w:val="202124"/>
          <w:sz w:val="24"/>
          <w:szCs w:val="24"/>
          <w:lang w:val="en" w:eastAsia="ru-RU"/>
        </w:rPr>
        <w:t>agents</w:t>
      </w:r>
      <w:r w:rsidRPr="00F60663">
        <w:rPr>
          <w:rFonts w:ascii="Times New Roman" w:hAnsi="Times New Roman"/>
          <w:color w:val="202124"/>
          <w:sz w:val="24"/>
          <w:szCs w:val="24"/>
          <w:lang w:eastAsia="ru-RU"/>
        </w:rPr>
        <w:t xml:space="preserve">) </w:t>
      </w:r>
      <w:r w:rsidRPr="00F60663">
        <w:rPr>
          <w:rFonts w:ascii="Times New Roman" w:hAnsi="Times New Roman"/>
          <w:sz w:val="24"/>
          <w:szCs w:val="24"/>
        </w:rPr>
        <w:t xml:space="preserve"> </w:t>
      </w:r>
    </w:p>
    <w:p w:rsidR="006D37DA" w:rsidRDefault="006D37DA" w:rsidP="00486CAB">
      <w:pPr>
        <w:spacing w:after="0" w:line="240" w:lineRule="auto"/>
        <w:jc w:val="both"/>
        <w:rPr>
          <w:rFonts w:ascii="Times New Roman" w:hAnsi="Times New Roman"/>
          <w:b/>
          <w:sz w:val="24"/>
          <w:szCs w:val="24"/>
        </w:rPr>
      </w:pPr>
    </w:p>
    <w:p w:rsidR="00F60663" w:rsidRDefault="00F60663" w:rsidP="00486CAB">
      <w:pPr>
        <w:spacing w:after="0" w:line="240" w:lineRule="auto"/>
        <w:jc w:val="both"/>
        <w:rPr>
          <w:rFonts w:ascii="Times New Roman" w:hAnsi="Times New Roman"/>
          <w:b/>
        </w:rPr>
      </w:pPr>
    </w:p>
    <w:p w:rsidR="006D37DA" w:rsidRDefault="006D37DA" w:rsidP="00137581">
      <w:pPr>
        <w:spacing w:after="0" w:line="240" w:lineRule="auto"/>
        <w:rPr>
          <w:rFonts w:ascii="Times New Roman" w:hAnsi="Times New Roman"/>
          <w:b/>
        </w:rPr>
      </w:pPr>
    </w:p>
    <w:p w:rsidR="006D37DA" w:rsidRDefault="006D37DA" w:rsidP="00137581">
      <w:pPr>
        <w:spacing w:after="0" w:line="240" w:lineRule="auto"/>
        <w:rPr>
          <w:rFonts w:ascii="Times New Roman" w:hAnsi="Times New Roman"/>
          <w:b/>
        </w:rPr>
      </w:pPr>
    </w:p>
    <w:p w:rsidR="006D37DA" w:rsidRDefault="006D37DA" w:rsidP="00137581">
      <w:pPr>
        <w:spacing w:after="0" w:line="240" w:lineRule="auto"/>
        <w:rPr>
          <w:rFonts w:ascii="Times New Roman" w:hAnsi="Times New Roman"/>
          <w:b/>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F60663" w:rsidRDefault="00F60663" w:rsidP="009C2A4D">
      <w:pPr>
        <w:spacing w:after="0" w:line="240" w:lineRule="auto"/>
        <w:rPr>
          <w:rFonts w:ascii="Times New Roman" w:hAnsi="Times New Roman"/>
          <w:b/>
        </w:rPr>
      </w:pPr>
    </w:p>
    <w:p w:rsidR="009C2A4D" w:rsidRDefault="00F60663" w:rsidP="009C2A4D">
      <w:pPr>
        <w:spacing w:after="0" w:line="240" w:lineRule="auto"/>
        <w:rPr>
          <w:rFonts w:ascii="Times New Roman" w:hAnsi="Times New Roman"/>
          <w:b/>
        </w:rPr>
      </w:pPr>
      <w:r>
        <w:rPr>
          <w:rFonts w:ascii="Times New Roman" w:hAnsi="Times New Roman"/>
          <w:b/>
        </w:rPr>
        <w:t xml:space="preserve">                                                                        </w:t>
      </w:r>
      <w:r w:rsidR="009C2A4D">
        <w:rPr>
          <w:rFonts w:ascii="Times New Roman" w:hAnsi="Times New Roman"/>
          <w:b/>
        </w:rPr>
        <w:t xml:space="preserve"> </w:t>
      </w:r>
      <w:r w:rsidR="009C2A4D" w:rsidRPr="002E4E5E">
        <w:rPr>
          <w:rFonts w:ascii="Times New Roman" w:hAnsi="Times New Roman"/>
          <w:b/>
        </w:rPr>
        <w:t xml:space="preserve">м. </w:t>
      </w:r>
      <w:r>
        <w:rPr>
          <w:rFonts w:ascii="Times New Roman" w:hAnsi="Times New Roman"/>
          <w:b/>
        </w:rPr>
        <w:t>Вінниця – 2022</w:t>
      </w:r>
      <w:r w:rsidR="009C2A4D" w:rsidRPr="00486CAB">
        <w:rPr>
          <w:rFonts w:ascii="Times New Roman" w:hAnsi="Times New Roman"/>
          <w:b/>
        </w:rPr>
        <w:t xml:space="preserve"> р.</w:t>
      </w:r>
    </w:p>
    <w:p w:rsidR="00D3702B" w:rsidRDefault="0082224A" w:rsidP="0082224A">
      <w:pPr>
        <w:spacing w:after="0" w:line="240" w:lineRule="auto"/>
        <w:rPr>
          <w:rFonts w:ascii="Times New Roman" w:hAnsi="Times New Roman"/>
          <w:b/>
        </w:rPr>
      </w:pPr>
      <w:r>
        <w:rPr>
          <w:rFonts w:ascii="Times New Roman" w:hAnsi="Times New Roman"/>
          <w: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lastRenderedPageBreak/>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6A15D9" w:rsidRPr="006A15D9" w:rsidRDefault="00486CAB" w:rsidP="006A15D9">
            <w:pPr>
              <w:pStyle w:val="a7"/>
              <w:ind w:left="360"/>
              <w:jc w:val="both"/>
              <w:rPr>
                <w:rFonts w:ascii="Times New Roman" w:eastAsia="Times New Roman" w:hAnsi="Times New Roman"/>
                <w:b/>
                <w:lang w:eastAsia="uk-UA"/>
              </w:rPr>
            </w:pPr>
            <w:r w:rsidRPr="00D72480">
              <w:rPr>
                <w:rFonts w:ascii="Times New Roman" w:hAnsi="Times New Roman"/>
                <w:color w:val="000000"/>
                <w:lang w:eastAsia="uk-UA"/>
              </w:rPr>
              <w:t xml:space="preserve"> </w:t>
            </w:r>
            <w:r w:rsidR="006A15D9" w:rsidRPr="006A15D9">
              <w:rPr>
                <w:rFonts w:ascii="Times New Roman" w:hAnsi="Times New Roman"/>
                <w:b/>
              </w:rPr>
              <w:t xml:space="preserve">Лікарські засоби: </w:t>
            </w:r>
            <w:proofErr w:type="spellStart"/>
            <w:r w:rsidR="006A15D9" w:rsidRPr="006A15D9">
              <w:rPr>
                <w:rFonts w:ascii="Times New Roman" w:hAnsi="Times New Roman"/>
                <w:b/>
              </w:rPr>
              <w:t>Актилізе</w:t>
            </w:r>
            <w:proofErr w:type="spellEnd"/>
            <w:r w:rsidR="006A15D9" w:rsidRPr="006A15D9">
              <w:rPr>
                <w:rFonts w:ascii="Times New Roman" w:hAnsi="Times New Roman"/>
                <w:b/>
              </w:rPr>
              <w:t xml:space="preserve"> </w:t>
            </w:r>
            <w:r w:rsidR="006A15D9" w:rsidRPr="006A15D9">
              <w:rPr>
                <w:rFonts w:ascii="Times New Roman" w:hAnsi="Times New Roman"/>
              </w:rPr>
              <w:t>(ДК 021:2015</w:t>
            </w:r>
            <w:r w:rsidR="006A15D9" w:rsidRPr="006A15D9">
              <w:t xml:space="preserve"> </w:t>
            </w:r>
            <w:r w:rsidR="006A15D9" w:rsidRPr="006A15D9">
              <w:rPr>
                <w:rFonts w:ascii="Times New Roman" w:eastAsia="Times New Roman" w:hAnsi="Times New Roman"/>
                <w:color w:val="000000"/>
              </w:rPr>
              <w:t xml:space="preserve">33621100-0-протитромбозні засоби) </w:t>
            </w:r>
            <w:r w:rsidR="00582136" w:rsidRPr="006A15D9">
              <w:rPr>
                <w:rStyle w:val="rvts0"/>
                <w:rFonts w:ascii="Times New Roman" w:hAnsi="Times New Roman"/>
                <w:b/>
              </w:rPr>
              <w:t xml:space="preserve">Код за </w:t>
            </w:r>
            <w:r w:rsidR="00582136" w:rsidRPr="006A15D9">
              <w:rPr>
                <w:rFonts w:ascii="Times New Roman" w:eastAsia="Times New Roman" w:hAnsi="Times New Roman"/>
                <w:b/>
                <w:lang w:eastAsia="uk-UA"/>
              </w:rPr>
              <w:t>ДК 021:2015  33600000-6 Фармацевтична продукція</w:t>
            </w:r>
            <w:r w:rsidR="006A15D9" w:rsidRPr="006A15D9">
              <w:rPr>
                <w:rFonts w:ascii="Times New Roman" w:eastAsia="Times New Roman" w:hAnsi="Times New Roman"/>
                <w:b/>
                <w:lang w:eastAsia="uk-UA"/>
              </w:rPr>
              <w:t xml:space="preserve">, </w:t>
            </w:r>
          </w:p>
          <w:p w:rsidR="006A15D9" w:rsidRPr="006A15D9" w:rsidRDefault="006A15D9" w:rsidP="006A15D9">
            <w:pPr>
              <w:pStyle w:val="a7"/>
              <w:ind w:left="360"/>
              <w:jc w:val="both"/>
              <w:rPr>
                <w:rFonts w:ascii="Times New Roman" w:hAnsi="Times New Roman"/>
              </w:rPr>
            </w:pPr>
            <w:r w:rsidRPr="006A15D9">
              <w:rPr>
                <w:rFonts w:ascii="inherit" w:hAnsi="inherit"/>
                <w:b/>
                <w:color w:val="202124"/>
                <w:lang w:val="en" w:eastAsia="ru-RU"/>
              </w:rPr>
              <w:t>Medicines</w:t>
            </w:r>
            <w:r w:rsidRPr="006A15D9">
              <w:rPr>
                <w:rFonts w:ascii="Times New Roman" w:hAnsi="Times New Roman"/>
              </w:rPr>
              <w:t xml:space="preserve">: </w:t>
            </w:r>
            <w:proofErr w:type="spellStart"/>
            <w:r w:rsidRPr="006A15D9">
              <w:rPr>
                <w:rFonts w:ascii="Times New Roman" w:eastAsia="Times New Roman" w:hAnsi="Times New Roman"/>
                <w:lang w:val="en-US"/>
              </w:rPr>
              <w:t>Alteplase</w:t>
            </w:r>
            <w:proofErr w:type="spellEnd"/>
            <w:r w:rsidRPr="006A15D9">
              <w:rPr>
                <w:rFonts w:ascii="Times New Roman" w:eastAsia="Times New Roman" w:hAnsi="Times New Roman"/>
              </w:rPr>
              <w:t xml:space="preserve"> </w:t>
            </w:r>
            <w:proofErr w:type="spellStart"/>
            <w:r w:rsidRPr="006A15D9">
              <w:rPr>
                <w:rFonts w:ascii="Times New Roman" w:hAnsi="Times New Roman"/>
                <w:b/>
                <w:lang w:val="en-US"/>
              </w:rPr>
              <w:t>Alteplase</w:t>
            </w:r>
            <w:proofErr w:type="spellEnd"/>
            <w:r w:rsidRPr="006A15D9">
              <w:rPr>
                <w:rFonts w:ascii="Times New Roman" w:hAnsi="Times New Roman"/>
              </w:rPr>
              <w:t xml:space="preserve"> (ДК 021:2015 </w:t>
            </w:r>
            <w:r w:rsidRPr="006A15D9">
              <w:rPr>
                <w:rFonts w:ascii="Times New Roman" w:hAnsi="Times New Roman"/>
                <w:color w:val="000000"/>
              </w:rPr>
              <w:t>33621100-0-</w:t>
            </w:r>
            <w:r w:rsidRPr="006A15D9">
              <w:rPr>
                <w:rFonts w:ascii="inherit" w:hAnsi="inherit"/>
                <w:color w:val="202124"/>
              </w:rPr>
              <w:t xml:space="preserve"> </w:t>
            </w:r>
            <w:r w:rsidRPr="006A15D9">
              <w:rPr>
                <w:rFonts w:ascii="Times New Roman" w:hAnsi="Times New Roman"/>
                <w:color w:val="202124"/>
                <w:lang w:val="en" w:eastAsia="ru-RU"/>
              </w:rPr>
              <w:t>antithrombotic</w:t>
            </w:r>
            <w:r w:rsidRPr="006A15D9">
              <w:rPr>
                <w:rFonts w:ascii="Times New Roman" w:hAnsi="Times New Roman"/>
                <w:color w:val="202124"/>
                <w:lang w:eastAsia="ru-RU"/>
              </w:rPr>
              <w:t xml:space="preserve"> </w:t>
            </w:r>
            <w:r w:rsidRPr="006A15D9">
              <w:rPr>
                <w:rFonts w:ascii="Times New Roman" w:hAnsi="Times New Roman"/>
                <w:color w:val="202124"/>
                <w:lang w:val="en" w:eastAsia="ru-RU"/>
              </w:rPr>
              <w:t>agents</w:t>
            </w:r>
            <w:r w:rsidRPr="006A15D9">
              <w:rPr>
                <w:rFonts w:ascii="Times New Roman" w:hAnsi="Times New Roman"/>
                <w:color w:val="202124"/>
                <w:lang w:eastAsia="ru-RU"/>
              </w:rPr>
              <w:t>),</w:t>
            </w:r>
            <w:r w:rsidRPr="006A15D9">
              <w:rPr>
                <w:rFonts w:ascii="Times New Roman" w:hAnsi="Times New Roman"/>
              </w:rPr>
              <w:t xml:space="preserve">  </w:t>
            </w:r>
            <w:proofErr w:type="spellStart"/>
            <w:r w:rsidRPr="006A15D9">
              <w:rPr>
                <w:rFonts w:ascii="Times New Roman" w:hAnsi="Times New Roman"/>
                <w:b/>
                <w:lang w:eastAsia="ru-RU"/>
              </w:rPr>
              <w:t>Code</w:t>
            </w:r>
            <w:proofErr w:type="spellEnd"/>
            <w:r w:rsidRPr="006A15D9">
              <w:rPr>
                <w:rFonts w:ascii="Times New Roman" w:hAnsi="Times New Roman"/>
                <w:b/>
                <w:lang w:eastAsia="ru-RU"/>
              </w:rPr>
              <w:t xml:space="preserve"> </w:t>
            </w:r>
            <w:proofErr w:type="spellStart"/>
            <w:r w:rsidRPr="006A15D9">
              <w:rPr>
                <w:rFonts w:ascii="Times New Roman" w:hAnsi="Times New Roman"/>
                <w:b/>
                <w:lang w:eastAsia="ru-RU"/>
              </w:rPr>
              <w:t>for</w:t>
            </w:r>
            <w:proofErr w:type="spellEnd"/>
            <w:r w:rsidRPr="006A15D9">
              <w:rPr>
                <w:rFonts w:ascii="Times New Roman" w:hAnsi="Times New Roman"/>
                <w:b/>
                <w:lang w:eastAsia="ru-RU"/>
              </w:rPr>
              <w:t xml:space="preserve"> </w:t>
            </w:r>
            <w:r w:rsidRPr="006A15D9">
              <w:rPr>
                <w:rFonts w:ascii="Times New Roman" w:hAnsi="Times New Roman"/>
                <w:b/>
              </w:rPr>
              <w:t xml:space="preserve">DK 021: 2015 33600000-6 </w:t>
            </w:r>
            <w:proofErr w:type="spellStart"/>
            <w:r w:rsidRPr="006A15D9">
              <w:rPr>
                <w:rFonts w:ascii="Times New Roman" w:hAnsi="Times New Roman"/>
                <w:b/>
              </w:rPr>
              <w:t>Pharmaceutical</w:t>
            </w:r>
            <w:proofErr w:type="spellEnd"/>
            <w:r w:rsidRPr="006A15D9">
              <w:rPr>
                <w:rFonts w:ascii="Times New Roman" w:hAnsi="Times New Roman"/>
                <w:b/>
              </w:rPr>
              <w:t xml:space="preserve"> </w:t>
            </w:r>
            <w:proofErr w:type="spellStart"/>
            <w:r w:rsidRPr="006A15D9">
              <w:rPr>
                <w:rFonts w:ascii="Times New Roman" w:hAnsi="Times New Roman"/>
                <w:b/>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CA7E8F">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 xml:space="preserve">20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бути 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t xml:space="preserve">Розділ ІІІ. </w:t>
            </w:r>
            <w:bookmarkStart w:id="1"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1"/>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sidR="003C710F" w:rsidRPr="002E4E5E">
              <w:rPr>
                <w:rFonts w:ascii="Times New Roman" w:hAnsi="Times New Roman"/>
              </w:rPr>
              <w:lastRenderedPageBreak/>
              <w:t>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 xml:space="preserve">рішення засновників об’єднання, оформлене відповідно до </w:t>
            </w:r>
            <w:r w:rsidRPr="0046389D">
              <w:rPr>
                <w:color w:val="000000" w:themeColor="text1"/>
                <w:sz w:val="22"/>
                <w:szCs w:val="22"/>
                <w:lang w:val="uk-UA"/>
              </w:rPr>
              <w:lastRenderedPageBreak/>
              <w:t>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w:t>
            </w:r>
            <w:r w:rsidR="00BC071F">
              <w:rPr>
                <w:rFonts w:ascii="Times New Roman" w:hAnsi="Times New Roman"/>
              </w:rPr>
              <w:lastRenderedPageBreak/>
              <w:t>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 xml:space="preserve">У зв`язку із тим, що процедура закупівлі здійснюється відповідно до норм частини четвертої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 xml:space="preserve">з провадженням такими юридичними особами діяльності, необхідної для </w:t>
            </w:r>
            <w:r w:rsidRPr="0015331A">
              <w:rPr>
                <w:rFonts w:ascii="Times New Roman" w:hAnsi="Times New Roman"/>
              </w:rPr>
              <w:lastRenderedPageBreak/>
              <w:t>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у складі 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w:t>
            </w:r>
            <w:r w:rsidR="00C22239" w:rsidRPr="00FA1C8B">
              <w:rPr>
                <w:rFonts w:ascii="Times New Roman" w:hAnsi="Times New Roman"/>
              </w:rPr>
              <w:lastRenderedPageBreak/>
              <w:t>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2" w:name="n445"/>
            <w:bookmarkEnd w:id="2"/>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 xml:space="preserve">Строк дії тендерної пропозиції, протягом </w:t>
            </w:r>
            <w:r w:rsidRPr="002E4E5E">
              <w:rPr>
                <w:rFonts w:ascii="Times New Roman" w:hAnsi="Times New Roman"/>
                <w:b/>
                <w:lang w:eastAsia="uk-UA"/>
              </w:rPr>
              <w:lastRenderedPageBreak/>
              <w:t>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lastRenderedPageBreak/>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lastRenderedPageBreak/>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Договір найму будівлі або іншої капітальної споруди (їх окремої частини) строком на три роки і більше 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t>**Договір найму (оренди) транспортного засобу за участю фізичної особи підлягає нотаріальному посвідченню 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про нотаріальне посвідчення договору такий договір є нікчемним згідно ст.220 </w:t>
                  </w:r>
                  <w:r w:rsidRPr="00861E3C">
                    <w:rPr>
                      <w:rFonts w:ascii="Times New Roman" w:hAnsi="Times New Roman"/>
                      <w:b/>
                      <w:i/>
                      <w:sz w:val="20"/>
                      <w:szCs w:val="20"/>
                    </w:rPr>
                    <w:t xml:space="preserve">Цивільного </w:t>
                  </w:r>
                  <w:r w:rsidRPr="00861E3C">
                    <w:rPr>
                      <w:rFonts w:ascii="Times New Roman" w:hAnsi="Times New Roman"/>
                      <w:b/>
                      <w:i/>
                      <w:sz w:val="20"/>
                      <w:szCs w:val="20"/>
                    </w:rPr>
                    <w:lastRenderedPageBreak/>
                    <w:t>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(склад, та/або офіс, та/або виробниче 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lastRenderedPageBreak/>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3" w:name="n1480"/>
            <w:bookmarkEnd w:id="3"/>
            <w:r w:rsidRPr="00526469">
              <w:rPr>
                <w:color w:val="000000"/>
                <w:sz w:val="22"/>
                <w:szCs w:val="22"/>
              </w:rPr>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D00861">
              <w:rPr>
                <w:sz w:val="22"/>
                <w:szCs w:val="22"/>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w:t>
            </w:r>
            <w:r w:rsidRPr="008E0B54">
              <w:rPr>
                <w:rFonts w:ascii="Times New Roman" w:hAnsi="Times New Roman"/>
              </w:rPr>
              <w:lastRenderedPageBreak/>
              <w:t>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Інформація про необхідні технічні, якісні та кількісні характеристики </w:t>
            </w:r>
            <w:r w:rsidRPr="002E4E5E">
              <w:rPr>
                <w:rFonts w:ascii="Times New Roman" w:hAnsi="Times New Roman"/>
                <w:b/>
                <w:lang w:eastAsia="uk-UA"/>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lastRenderedPageBreak/>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lastRenderedPageBreak/>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(у випадку 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5414EA"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8443BE">
              <w:rPr>
                <w:rFonts w:ascii="Times New Roman" w:hAnsi="Times New Roman"/>
              </w:rPr>
              <w:t xml:space="preserve">пропозицій </w:t>
            </w:r>
            <w:r w:rsidR="0011015C">
              <w:rPr>
                <w:rFonts w:ascii="Times New Roman" w:hAnsi="Times New Roman"/>
                <w:b/>
              </w:rPr>
              <w:t>06</w:t>
            </w:r>
            <w:bookmarkStart w:id="4" w:name="_GoBack"/>
            <w:bookmarkEnd w:id="4"/>
            <w:r w:rsidR="0015189B" w:rsidRPr="00A71368">
              <w:rPr>
                <w:rFonts w:ascii="Times New Roman" w:hAnsi="Times New Roman"/>
                <w:b/>
              </w:rPr>
              <w:t xml:space="preserve"> </w:t>
            </w:r>
            <w:r w:rsidR="00A71368" w:rsidRPr="00A71368">
              <w:rPr>
                <w:rFonts w:ascii="Times New Roman" w:hAnsi="Times New Roman"/>
                <w:b/>
              </w:rPr>
              <w:t>вересня</w:t>
            </w:r>
            <w:r w:rsidR="00E304BA" w:rsidRPr="00A71368">
              <w:rPr>
                <w:rFonts w:ascii="Times New Roman" w:hAnsi="Times New Roman"/>
                <w:b/>
              </w:rPr>
              <w:t xml:space="preserve"> </w:t>
            </w:r>
            <w:r w:rsidR="0028235F" w:rsidRPr="00A71368">
              <w:rPr>
                <w:rFonts w:ascii="Times New Roman" w:hAnsi="Times New Roman"/>
                <w:b/>
              </w:rPr>
              <w:t>202</w:t>
            </w:r>
            <w:r w:rsidR="0015189B" w:rsidRPr="00A71368">
              <w:rPr>
                <w:rFonts w:ascii="Times New Roman" w:hAnsi="Times New Roman"/>
                <w:b/>
              </w:rPr>
              <w:t>2</w:t>
            </w:r>
            <w:r w:rsidR="00400B06" w:rsidRPr="008443BE">
              <w:rPr>
                <w:rFonts w:ascii="Times New Roman" w:hAnsi="Times New Roman"/>
                <w:b/>
              </w:rPr>
              <w:t> </w:t>
            </w:r>
            <w:r w:rsidR="0028235F" w:rsidRPr="008443BE">
              <w:rPr>
                <w:rFonts w:ascii="Times New Roman" w:hAnsi="Times New Roman"/>
                <w:b/>
              </w:rPr>
              <w:t>р</w:t>
            </w:r>
            <w:r w:rsidR="00400B06" w:rsidRPr="008443BE">
              <w:rPr>
                <w:rFonts w:ascii="Times New Roman" w:hAnsi="Times New Roman"/>
                <w:b/>
              </w:rPr>
              <w:t>.</w:t>
            </w:r>
            <w:r w:rsidR="0028235F" w:rsidRPr="008443BE">
              <w:rPr>
                <w:rFonts w:ascii="Times New Roman" w:hAnsi="Times New Roman"/>
                <w:b/>
              </w:rPr>
              <w:t xml:space="preserve"> за київським часом до </w:t>
            </w:r>
            <w:r w:rsidR="007E6297" w:rsidRPr="008443BE">
              <w:rPr>
                <w:rFonts w:ascii="Times New Roman" w:hAnsi="Times New Roman"/>
                <w:b/>
              </w:rPr>
              <w:t>11</w:t>
            </w:r>
            <w:r w:rsidR="0028235F" w:rsidRPr="008443BE">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7E6297">
              <w:rPr>
                <w:rFonts w:ascii="Times New Roman" w:eastAsia="Times New Roman" w:hAnsi="Times New Roman"/>
                <w:lang w:eastAsia="uk-UA"/>
              </w:rPr>
              <w:t>4.1.2.</w:t>
            </w:r>
            <w:r w:rsidR="00BB6379" w:rsidRPr="007E6297">
              <w:rPr>
                <w:rFonts w:ascii="Times New Roman" w:eastAsia="Times New Roman" w:hAnsi="Times New Roman"/>
                <w:lang w:eastAsia="uk-UA"/>
              </w:rPr>
              <w:t>Отримана тендерна пропозиція вноситься автоматично</w:t>
            </w:r>
            <w:r w:rsidR="00BB6379" w:rsidRPr="002E4E5E">
              <w:rPr>
                <w:rFonts w:ascii="Times New Roman" w:eastAsia="Times New Roman" w:hAnsi="Times New Roman"/>
                <w:lang w:eastAsia="uk-UA"/>
              </w:rPr>
              <w:t xml:space="preserve">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lastRenderedPageBreak/>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4.2.6. Оскільки  оголошення про проведення процедури закупівлі оприлюднюється відповідно до норм частини третьої статті 10 цього 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2E4E5E">
              <w:rPr>
                <w:sz w:val="22"/>
                <w:szCs w:val="22"/>
              </w:rPr>
              <w:lastRenderedPageBreak/>
              <w:t>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посилання на вимогу (вимоги) тендерної документації, щодо яких </w:t>
            </w:r>
            <w:r w:rsidRPr="002E4E5E">
              <w:rPr>
                <w:rFonts w:ascii="Times New Roman" w:hAnsi="Times New Roman"/>
                <w:lang w:eastAsia="uk-UA"/>
              </w:rPr>
              <w:lastRenderedPageBreak/>
              <w:t>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sidRPr="009B2779">
              <w:rPr>
                <w:rFonts w:ascii="Times New Roman" w:eastAsia="Times New Roman" w:hAnsi="Times New Roman"/>
              </w:rPr>
              <w:lastRenderedPageBreak/>
              <w:t>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007D230F" w:rsidRPr="002E4E5E">
              <w:rPr>
                <w:rFonts w:ascii="Times New Roman" w:hAnsi="Times New Roman"/>
              </w:rPr>
              <w:lastRenderedPageBreak/>
              <w:t xml:space="preserve">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якщо здійснення закупівлі стало неможливим унаслідок непереборної 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w:t>
            </w:r>
            <w:r w:rsidR="00D43B7A" w:rsidRPr="002E4E5E">
              <w:rPr>
                <w:rFonts w:ascii="Times New Roman" w:eastAsia="Times New Roman" w:hAnsi="Times New Roman"/>
                <w:lang w:eastAsia="uk-UA"/>
              </w:rPr>
              <w:lastRenderedPageBreak/>
              <w:t>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sidRPr="002E4E5E">
              <w:rPr>
                <w:sz w:val="22"/>
                <w:szCs w:val="22"/>
              </w:rPr>
              <w:lastRenderedPageBreak/>
              <w:t>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8B" w:rsidRDefault="00DE0C8B" w:rsidP="00C420E7">
      <w:pPr>
        <w:spacing w:after="0" w:line="240" w:lineRule="auto"/>
      </w:pPr>
      <w:r>
        <w:separator/>
      </w:r>
    </w:p>
  </w:endnote>
  <w:endnote w:type="continuationSeparator" w:id="0">
    <w:p w:rsidR="00DE0C8B" w:rsidRDefault="00DE0C8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8B" w:rsidRDefault="00DE0C8B" w:rsidP="00C420E7">
      <w:pPr>
        <w:spacing w:after="0" w:line="240" w:lineRule="auto"/>
      </w:pPr>
      <w:r>
        <w:separator/>
      </w:r>
    </w:p>
  </w:footnote>
  <w:footnote w:type="continuationSeparator" w:id="0">
    <w:p w:rsidR="00DE0C8B" w:rsidRDefault="00DE0C8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54" w:rsidRDefault="008E0B5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1015C" w:rsidRPr="0011015C">
      <w:rPr>
        <w:rFonts w:ascii="Times New Roman" w:hAnsi="Times New Roman"/>
        <w:noProof/>
        <w:sz w:val="28"/>
        <w:szCs w:val="28"/>
        <w:lang w:val="ru-RU"/>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10D6F"/>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50876"/>
    <w:rsid w:val="007518CE"/>
    <w:rsid w:val="00752095"/>
    <w:rsid w:val="00752298"/>
    <w:rsid w:val="0075340D"/>
    <w:rsid w:val="007552AB"/>
    <w:rsid w:val="00756B95"/>
    <w:rsid w:val="00760FD4"/>
    <w:rsid w:val="00762C43"/>
    <w:rsid w:val="00763B8C"/>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65BC"/>
    <w:rsid w:val="00870F0D"/>
    <w:rsid w:val="008747F4"/>
    <w:rsid w:val="0087562F"/>
    <w:rsid w:val="00875ECC"/>
    <w:rsid w:val="0087785E"/>
    <w:rsid w:val="0088219F"/>
    <w:rsid w:val="008832C0"/>
    <w:rsid w:val="00883312"/>
    <w:rsid w:val="0088450E"/>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6690"/>
    <w:rsid w:val="00FA678C"/>
    <w:rsid w:val="00FA7A20"/>
    <w:rsid w:val="00FB02A1"/>
    <w:rsid w:val="00FB1E60"/>
    <w:rsid w:val="00FB22C1"/>
    <w:rsid w:val="00FB3DCE"/>
    <w:rsid w:val="00FB52F2"/>
    <w:rsid w:val="00FB53EB"/>
    <w:rsid w:val="00FB68D3"/>
    <w:rsid w:val="00FB72B8"/>
    <w:rsid w:val="00FC2D32"/>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090A-3646-464F-94A0-49823FAE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22</Pages>
  <Words>10344</Words>
  <Characters>58962</Characters>
  <Application>Microsoft Office Word</Application>
  <DocSecurity>0</DocSecurity>
  <Lines>491</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69168</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396</cp:revision>
  <cp:lastPrinted>2021-09-06T14:47:00Z</cp:lastPrinted>
  <dcterms:created xsi:type="dcterms:W3CDTF">2021-07-28T13:45:00Z</dcterms:created>
  <dcterms:modified xsi:type="dcterms:W3CDTF">2022-08-05T04:38:00Z</dcterms:modified>
</cp:coreProperties>
</file>