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Rvps2"/>
        <w:shd w:val="clear" w:color="auto" w:fill="FFFFFF"/>
        <w:spacing w:beforeAutospacing="0" w:before="0" w:afterAutospacing="0" w:after="0"/>
        <w:ind w:firstLine="5954"/>
        <w:jc w:val="both"/>
        <w:rPr>
          <w:b/>
          <w:b/>
          <w:bCs/>
        </w:rPr>
      </w:pPr>
      <w:bookmarkStart w:id="0" w:name="_Hlk40253310"/>
      <w:bookmarkEnd w:id="0"/>
      <w:r>
        <w:rPr>
          <w:b/>
          <w:bCs/>
        </w:rPr>
        <w:t xml:space="preserve">Затверджено </w:t>
      </w:r>
    </w:p>
    <w:p>
      <w:pPr>
        <w:pStyle w:val="Rvps2"/>
        <w:shd w:val="clear" w:color="auto" w:fill="FFFFFF"/>
        <w:spacing w:beforeAutospacing="0" w:before="0" w:afterAutospacing="0" w:after="0"/>
        <w:ind w:firstLine="5954"/>
        <w:jc w:val="both"/>
        <w:rPr>
          <w:b/>
          <w:b/>
          <w:bCs/>
        </w:rPr>
      </w:pPr>
      <w:r>
        <w:rPr>
          <w:b/>
          <w:bCs/>
        </w:rPr>
        <w:t xml:space="preserve">рішенням уповноваженої особи </w:t>
      </w:r>
    </w:p>
    <w:p>
      <w:pPr>
        <w:pStyle w:val="Rvps2"/>
        <w:shd w:val="clear" w:color="auto" w:fill="FFFFFF"/>
        <w:spacing w:beforeAutospacing="0" w:before="0" w:afterAutospacing="0" w:after="0"/>
        <w:ind w:firstLine="5954"/>
        <w:jc w:val="both"/>
        <w:rPr>
          <w:color w:val="C9211E"/>
        </w:rPr>
      </w:pPr>
      <w:r>
        <w:rPr>
          <w:b/>
          <w:bCs/>
          <w:color w:val="C9211E"/>
        </w:rPr>
        <w:t>від 12.12.2023р.</w:t>
      </w:r>
    </w:p>
    <w:p>
      <w:pPr>
        <w:pStyle w:val="Rvps2"/>
        <w:shd w:val="clear" w:color="auto" w:fill="FFFFFF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</w:r>
      <w:bookmarkStart w:id="1" w:name="_Hlk402533101"/>
      <w:bookmarkStart w:id="2" w:name="_Hlk402533101"/>
      <w:bookmarkEnd w:id="2"/>
    </w:p>
    <w:p>
      <w:pPr>
        <w:pStyle w:val="Rvps2"/>
        <w:shd w:val="clear" w:color="auto" w:fill="FFFFFF"/>
        <w:spacing w:beforeAutospacing="0" w:before="0" w:afterAutospacing="0" w:after="0"/>
        <w:ind w:firstLine="360"/>
        <w:jc w:val="both"/>
        <w:rPr>
          <w:b/>
          <w:b/>
          <w:bCs/>
        </w:rPr>
      </w:pPr>
      <w:r>
        <w:rPr>
          <w:b/>
          <w:bCs/>
        </w:rPr>
        <w:t>Оголошення про проведення спрощеної закупівлі.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b/>
          <w:b/>
          <w:bCs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4"/>
          <w:szCs w:val="24"/>
          <w:lang w:eastAsia="hi-IN" w:bidi="hi-IN"/>
        </w:rPr>
        <w:tab/>
        <w:t xml:space="preserve">1. Замовник: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hi-IN" w:bidi="hi-IN"/>
        </w:rPr>
        <w:t>Виконавчий комітет Славутської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hi-IN" w:bidi="hi-IN"/>
        </w:rPr>
        <w:t>30000 Хмельницька обл., м. Славута, вул. Соборності, 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hi-IN" w:bidi="hi-IN"/>
        </w:rPr>
        <w:t>Код ЄДРПОУ 23563639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hi-IN" w:bidi="hi-IN"/>
        </w:rPr>
        <w:t xml:space="preserve">орган місцевого самоврядування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hi-IN" w:bidi="hi-IN"/>
        </w:rPr>
        <w:t>Контактні особи:</w:t>
      </w:r>
    </w:p>
    <w:p>
      <w:pPr>
        <w:pStyle w:val="NormalWeb"/>
        <w:widowControl w:val="false"/>
        <w:spacing w:before="0" w:after="0"/>
        <w:jc w:val="both"/>
        <w:rPr>
          <w:color w:val="auto"/>
        </w:rPr>
      </w:pPr>
      <w:r>
        <w:rPr>
          <w:u w:val="single"/>
        </w:rPr>
        <w:t>З питань</w:t>
      </w:r>
      <w:r>
        <w:rPr/>
        <w:t xml:space="preserve"> щодо процедури закупівлі:</w:t>
      </w:r>
    </w:p>
    <w:p>
      <w:pPr>
        <w:pStyle w:val="LOnormal"/>
        <w:widowControl w:val="false"/>
        <w:spacing w:lineRule="auto" w:line="240"/>
        <w:jc w:val="both"/>
        <w:rPr>
          <w:color w:val="auto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Тетяна Новак – уповноважена особа з питань закупівель,</w:t>
      </w:r>
    </w:p>
    <w:p>
      <w:pPr>
        <w:pStyle w:val="LOnormal"/>
        <w:widowControl w:val="false"/>
        <w:spacing w:lineRule="auto" w:line="2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uk-UA"/>
        </w:rPr>
        <w:t xml:space="preserve">тел. 097-771-30-92. Еmail: </w:t>
      </w:r>
      <w:hyperlink r:id="rId2">
        <w:r>
          <w:rPr>
            <w:rFonts w:eastAsia="Times New Roman" w:cs="Times New Roman" w:ascii="Times New Roman" w:hAnsi="Times New Roman"/>
            <w:i/>
            <w:sz w:val="24"/>
            <w:szCs w:val="24"/>
            <w:lang w:val="uk-UA"/>
          </w:rPr>
          <w:t>sl_nova@ukr.net</w:t>
        </w:r>
      </w:hyperlink>
      <w:r>
        <w:rPr>
          <w:rFonts w:eastAsia="Times New Roman" w:cs="Times New Roman" w:ascii="Times New Roman" w:hAnsi="Times New Roman"/>
          <w:i/>
          <w:sz w:val="24"/>
          <w:szCs w:val="24"/>
          <w:lang w:val="uk-UA"/>
        </w:rPr>
        <w:t xml:space="preserve"> </w:t>
      </w:r>
    </w:p>
    <w:p>
      <w:pPr>
        <w:pStyle w:val="LOnormal"/>
        <w:widowControl w:val="false"/>
        <w:spacing w:lineRule="auto" w:line="240"/>
        <w:jc w:val="both"/>
        <w:rPr>
          <w:color w:val="auto"/>
        </w:rPr>
      </w:pPr>
      <w:r>
        <w:rPr>
          <w:rFonts w:cs="Times New Roman" w:ascii="Times New Roman" w:hAnsi="Times New Roman"/>
          <w:sz w:val="24"/>
          <w:szCs w:val="24"/>
          <w:u w:val="single"/>
          <w:lang w:val="uk-UA"/>
        </w:rPr>
        <w:t>З технічних питань</w:t>
      </w:r>
      <w:r>
        <w:rPr>
          <w:rFonts w:cs="Times New Roman" w:ascii="Times New Roman" w:hAnsi="Times New Roman"/>
          <w:sz w:val="24"/>
          <w:szCs w:val="24"/>
          <w:lang w:val="uk-UA"/>
        </w:rPr>
        <w:t>:</w:t>
      </w:r>
    </w:p>
    <w:p>
      <w:pPr>
        <w:pStyle w:val="LOnormal"/>
        <w:widowControl w:val="false"/>
        <w:spacing w:lineRule="auto" w:line="240" w:before="0" w:after="0"/>
        <w:jc w:val="both"/>
        <w:rPr>
          <w:color w:val="auto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val="uk-UA" w:eastAsia="hi-IN" w:bidi="hi-IN"/>
        </w:rPr>
        <w:t xml:space="preserve">Оксана Герасимчук — </w:t>
      </w:r>
      <w:r>
        <w:rPr>
          <w:rFonts w:eastAsia="Andale Sans UI" w:cs="Times New Roman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  <w:lang w:val="uk-UA" w:eastAsia="hi-IN" w:bidi="hi-IN"/>
        </w:rPr>
        <w:t>головний спеціаліст</w:t>
      </w:r>
      <w:r>
        <w:rPr>
          <w:rFonts w:eastAsia="Andale Sans UI" w:cs="Times New Roman" w:ascii="Times New Roman" w:hAnsi="Times New Roman"/>
          <w:b w:val="false"/>
          <w:bCs w:val="false"/>
          <w:i w:val="false"/>
          <w:iCs w:val="false"/>
          <w:color w:val="C9211E"/>
          <w:kern w:val="2"/>
          <w:sz w:val="24"/>
          <w:szCs w:val="24"/>
          <w:lang w:val="uk-UA" w:eastAsia="hi-IN" w:bidi="hi-IN"/>
        </w:rPr>
        <w:t xml:space="preserve"> </w:t>
      </w:r>
      <w:r>
        <w:rPr>
          <w:rFonts w:eastAsia="Andale Sans UI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uk-UA" w:eastAsia="hi-IN" w:bidi="hi-IN"/>
        </w:rPr>
        <w:t>відділу з питань регулювання земельних відносин</w:t>
      </w:r>
      <w:r>
        <w:rPr>
          <w:rFonts w:eastAsia="Andale Sans UI" w:cs="Times New Roman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  <w:lang w:val="uk-UA" w:eastAsia="hi-IN" w:bidi="hi-IN"/>
        </w:rPr>
        <w:t xml:space="preserve">, </w:t>
      </w:r>
      <w:r>
        <w:rPr>
          <w:rFonts w:eastAsia="Andale Sans UI" w:cs="Times New Roman" w:ascii="Times New Roman" w:hAnsi="Times New Roman"/>
          <w:i/>
          <w:iCs/>
          <w:kern w:val="2"/>
          <w:sz w:val="24"/>
          <w:szCs w:val="24"/>
          <w:lang w:val="uk-UA" w:eastAsia="hi-IN" w:bidi="hi-IN"/>
        </w:rPr>
        <w:t>тел. 097-782-85-15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hi-I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4"/>
          <w:szCs w:val="24"/>
          <w:lang w:eastAsia="hi-IN" w:bidi="hi-IN"/>
        </w:rPr>
        <w:tab/>
        <w:t>2. Назва предмета закупівлі: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b/>
          <w:bCs/>
          <w:color w:val="auto"/>
          <w:kern w:val="2"/>
          <w:sz w:val="24"/>
          <w:szCs w:val="24"/>
          <w:lang w:eastAsia="hi-IN" w:bidi="hi-IN"/>
        </w:rPr>
        <w:tab/>
        <w:t>«</w:t>
      </w:r>
      <w:r>
        <w:rPr>
          <w:rFonts w:eastAsia="Andale Sans UI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lang w:val="uk-UA" w:eastAsia="hi-IN" w:bidi="en-US"/>
        </w:rPr>
        <w:t>Роботи з проведення експертної грошової оцінки земельної ділянки</w:t>
      </w:r>
      <w:r>
        <w:rPr>
          <w:rFonts w:eastAsia="Andale Sans UI" w:cs="Times New Roman" w:ascii="Times New Roman" w:hAnsi="Times New Roman"/>
          <w:b/>
          <w:bCs/>
          <w:color w:val="auto"/>
          <w:kern w:val="2"/>
          <w:sz w:val="24"/>
          <w:szCs w:val="24"/>
          <w:lang w:eastAsia="hi-IN" w:bidi="hi-IN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b w:val="false"/>
          <w:bCs w:val="false"/>
          <w:i/>
          <w:iCs w:val="false"/>
          <w:caps w:val="false"/>
          <w:smallCaps w:val="false"/>
          <w:strike w:val="false"/>
          <w:dstrike w:val="false"/>
          <w:color w:val="000000"/>
          <w:spacing w:val="-1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uk-UA" w:eastAsia="hi-IN" w:bidi="hi-IN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 w:val="false"/>
          <w:caps w:val="false"/>
          <w:smallCaps w:val="false"/>
          <w:strike w:val="false"/>
          <w:dstrike w:val="false"/>
          <w:color w:val="000000"/>
          <w:spacing w:val="-1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uk-UA" w:eastAsia="uk-UA" w:bidi="uk-UA"/>
        </w:rPr>
        <w:t>71310000-4 Консультаційні послуги у галузях інженерії та будівництва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hi-I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3. Вид предмета закупівлі: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hi-IN" w:bidi="hi-IN"/>
        </w:rPr>
        <w:t xml:space="preserve">Послуга </w:t>
      </w:r>
      <w:bookmarkStart w:id="3" w:name="_Hlk40189586"/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eastAsia="Andale Sans UI" w:cs="Times New Roman" w:ascii="Times New Roman" w:hAnsi="Times New Roman"/>
          <w:color w:val="auto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auto"/>
          <w:kern w:val="2"/>
          <w:sz w:val="24"/>
          <w:szCs w:val="24"/>
          <w:lang w:eastAsia="hi-IN" w:bidi="hi-IN"/>
        </w:rPr>
        <w:t xml:space="preserve">4. </w:t>
      </w:r>
      <w:bookmarkEnd w:id="3"/>
      <w:r>
        <w:rPr>
          <w:rFonts w:eastAsia="Andale Sans UI" w:cs="Times New Roman" w:ascii="Times New Roman" w:hAnsi="Times New Roman"/>
          <w:b/>
          <w:bCs/>
          <w:color w:val="auto"/>
          <w:kern w:val="2"/>
          <w:sz w:val="24"/>
          <w:szCs w:val="24"/>
          <w:lang w:eastAsia="hi-IN" w:bidi="hi-IN"/>
        </w:rPr>
        <w:t>Інформація про технічні, якісні та кількісні характеристики предмета закупівлі.</w:t>
      </w:r>
    </w:p>
    <w:p>
      <w:pPr>
        <w:pStyle w:val="NoSpacing"/>
        <w:widowControl w:val="false"/>
        <w:shd w:val="clear" w:fill="FFFFFF"/>
        <w:jc w:val="both"/>
        <w:rPr>
          <w:color w:val="auto"/>
        </w:rPr>
      </w:pPr>
      <w:r>
        <w:rPr>
          <w:rFonts w:eastAsia="Andale Sans UI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uk-UA" w:eastAsia="hi-IN" w:bidi="hi-IN"/>
        </w:rPr>
        <w:tab/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lang w:val="uk-UA"/>
        </w:rPr>
        <w:t>Експертна грошова оцінка земельної ділянки проводиться суб'єктами оціночної діяльності у сфері оцінки земель відповідно до вимог цього Закону України «Про оцінку земель», Закону України «Про оцінку майна, майнових прав і професійну оціночну діяльність в Україні», а також інших нормативно-правових актів та державних стандартів, норм і правил.</w:t>
      </w:r>
    </w:p>
    <w:p>
      <w:pPr>
        <w:pStyle w:val="NoSpacing"/>
        <w:widowControl w:val="false"/>
        <w:shd w:val="clear" w:fill="FFFFFF"/>
        <w:jc w:val="both"/>
        <w:rPr>
          <w:color w:val="auto"/>
        </w:rPr>
      </w:pPr>
      <w:r>
        <w:rPr>
          <w:rFonts w:ascii="Times New Roman" w:hAnsi="Times New Roman"/>
          <w:b/>
          <w:bCs/>
          <w:color w:val="auto"/>
          <w:kern w:val="2"/>
          <w:sz w:val="24"/>
          <w:szCs w:val="24"/>
          <w:lang w:val="uk-UA" w:eastAsia="en-US"/>
        </w:rPr>
        <w:tab/>
      </w:r>
      <w:r>
        <w:rPr>
          <w:rFonts w:ascii="Times New Roman" w:hAnsi="Times New Roman"/>
          <w:b w:val="false"/>
          <w:bCs w:val="false"/>
          <w:i/>
          <w:iCs/>
          <w:color w:val="auto"/>
          <w:sz w:val="24"/>
          <w:szCs w:val="24"/>
          <w:lang w:val="uk-UA"/>
        </w:rPr>
        <w:t>Характеристика земельної ділянки, що підлягає експертній грошовій оцінці:</w:t>
      </w:r>
      <w:r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Земельна ділянка (</w:t>
      </w:r>
      <w:r>
        <w:rPr>
          <w:rFonts w:ascii="Times New Roman" w:hAnsi="Times New Roman"/>
          <w:color w:val="auto"/>
          <w:sz w:val="24"/>
          <w:szCs w:val="24"/>
          <w:lang w:val="uk-UA" w:eastAsia="en-US"/>
        </w:rPr>
        <w:t>для будівництва та обслуговування будівель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торгівлі), площею </w:t>
      </w:r>
      <w:r>
        <w:rPr>
          <w:rFonts w:ascii="Times New Roman" w:hAnsi="Times New Roman"/>
          <w:color w:val="auto"/>
          <w:sz w:val="24"/>
          <w:szCs w:val="24"/>
          <w:lang w:val="uk-UA" w:eastAsia="ru-RU"/>
        </w:rPr>
        <w:t>310 кв.м (кадастровий номер 6810600000:01:009:0398),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uk-UA" w:eastAsia="en-US"/>
        </w:rPr>
        <w:t>для будівництва та обслуговування будівель торгівлі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розтащованої за адресою: Хмельницька обл., Шепетівський р-н,  м.Славута, вул. Ярослава Мудрого, 62 А.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i/>
          <w:iCs/>
          <w:color w:val="auto"/>
          <w:sz w:val="24"/>
          <w:szCs w:val="24"/>
        </w:rPr>
        <w:t>Вимоги щодо надання послуг: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uk-UA" w:eastAsia="ar-SA"/>
        </w:rPr>
        <w:tab/>
        <w:t>Виконавець: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uk-UA" w:eastAsia="ar-SA" w:bidi="en-US"/>
        </w:rPr>
        <w:t>проводить експертну грошову оцінку визначеної земельної ділянки несільськогосподарського призначення, що підлягає продажу під об'єктом нерухомого майна;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uk-UA" w:eastAsia="ar-SA" w:bidi="en-US"/>
        </w:rPr>
        <w:t>складає звіт з експертної грошової оцінки такої земельної ділянки, що містить висновок про вартість Об’єкта оцінки, розкриває зміст проведених процедур та використаної нормативно-правової бази з оцінки земельних ділянок в паперовому вигляді у 2-х примірниках;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eastAsia="Andale Sans UI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uk-UA" w:eastAsia="hi-IN" w:bidi="hi-IN"/>
        </w:rPr>
        <w:t>надає оригінал рецензії на звіт про експертну грошову оцінку земельної ділянки.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kern w:val="2"/>
          <w:lang w:val="uk-UA" w:eastAsia="ar-SA"/>
        </w:rPr>
      </w:pPr>
      <w:r>
        <w:rPr>
          <w:rFonts w:eastAsia="Times New Roman" w:cs="Times New Roman" w:ascii="Times New Roman" w:hAnsi="Times New Roman"/>
          <w:kern w:val="2"/>
          <w:lang w:val="uk-UA" w:eastAsia="ar-SA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5. 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Кількість надання послуг: </w:t>
      </w:r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>1-на послуга.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6.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Місце надання послуг: </w:t>
      </w:r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>Хмельницька обл. м. Славута</w:t>
      </w:r>
      <w:bookmarkStart w:id="4" w:name="n1146"/>
      <w:bookmarkEnd w:id="4"/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, вул. </w:t>
      </w:r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>Ярослава Мудрого, 62А</w:t>
      </w:r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>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8.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Строк надання послуг: </w:t>
      </w:r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>протягом 5-ти робочих днів з дня укладення договору.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9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. Умови оплати: </w:t>
      </w:r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100% післяоплата протягом 10-ти </w:t>
      </w:r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>робочих</w:t>
      </w:r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днів </w:t>
      </w:r>
      <w:r>
        <w:rPr>
          <w:rFonts w:eastAsia="Calibri" w:cs="Times New Roman" w:ascii="Times New Roman" w:hAnsi="Times New Roman"/>
          <w:i/>
          <w:iCs/>
          <w:color w:val="000000"/>
          <w:kern w:val="2"/>
          <w:sz w:val="24"/>
          <w:szCs w:val="24"/>
          <w:shd w:fill="FFFFFF" w:val="clear"/>
          <w:lang w:eastAsia="ru-RU" w:bidi="hi-IN"/>
        </w:rPr>
        <w:t>з дня підписання акту при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  <w:shd w:fill="FFFFFF" w:val="clear"/>
          <w:lang w:eastAsia="ru-RU" w:bidi="hi-IN"/>
        </w:rPr>
        <w:t>ймання-передачі виконаних робіт.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bookmarkStart w:id="5" w:name="n1148"/>
      <w:bookmarkEnd w:id="5"/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10. Очікувана вартість предмета закупівлі: </w:t>
      </w:r>
      <w:r>
        <w:rPr>
          <w:rFonts w:eastAsia="Andale Sans UI"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1 </w:t>
      </w:r>
      <w:bookmarkStart w:id="6" w:name="_Hlk40252215"/>
      <w:r>
        <w:rPr>
          <w:rFonts w:eastAsia="Andale Sans UI"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600,00 грн</w:t>
      </w:r>
      <w:bookmarkEnd w:id="6"/>
      <w:r>
        <w:rPr>
          <w:rFonts w:eastAsia="Andale Sans UI"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.</w:t>
      </w:r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bookmarkStart w:id="7" w:name="n1149"/>
      <w:bookmarkEnd w:id="7"/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>з ПДВ (Одна тисяча шістсот грн. 00 коп).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auto"/>
          <w:kern w:val="2"/>
          <w:sz w:val="24"/>
          <w:szCs w:val="24"/>
          <w:lang w:eastAsia="hi-IN" w:bidi="hi-IN"/>
        </w:rPr>
        <w:t>11.</w:t>
      </w:r>
      <w:r>
        <w:rPr>
          <w:rFonts w:eastAsia="Andale Sans UI" w:cs="Times New Roman" w:ascii="Times New Roman" w:hAnsi="Times New Roman"/>
          <w:color w:val="auto"/>
          <w:kern w:val="2"/>
          <w:sz w:val="24"/>
          <w:szCs w:val="24"/>
          <w:lang w:eastAsia="hi-IN" w:bidi="hi-IN"/>
        </w:rPr>
        <w:t xml:space="preserve"> Період уточнення інформації про закупівлю до </w:t>
      </w:r>
      <w:r>
        <w:rPr>
          <w:rFonts w:eastAsia="Andale Sans UI" w:cs="Times New Roman" w:ascii="Times New Roman" w:hAnsi="Times New Roman"/>
          <w:color w:val="auto"/>
          <w:kern w:val="2"/>
          <w:sz w:val="24"/>
          <w:szCs w:val="24"/>
          <w:lang w:eastAsia="hi-IN" w:bidi="hi-IN"/>
        </w:rPr>
        <w:t xml:space="preserve">27.01.2024 р. </w:t>
      </w:r>
      <w:bookmarkStart w:id="8" w:name="n1150"/>
      <w:bookmarkEnd w:id="8"/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eastAsia="Andale Sans UI" w:cs="Times New Roman" w:ascii="Times New Roman" w:hAnsi="Times New Roman"/>
          <w:color w:val="auto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auto"/>
          <w:kern w:val="2"/>
          <w:sz w:val="24"/>
          <w:szCs w:val="24"/>
          <w:lang w:eastAsia="hi-IN" w:bidi="hi-IN"/>
        </w:rPr>
        <w:t>12.</w:t>
      </w:r>
      <w:r>
        <w:rPr>
          <w:rFonts w:eastAsia="Andale Sans UI" w:cs="Times New Roman" w:ascii="Times New Roman" w:hAnsi="Times New Roman"/>
          <w:color w:val="auto"/>
          <w:kern w:val="2"/>
          <w:sz w:val="24"/>
          <w:szCs w:val="24"/>
          <w:lang w:eastAsia="hi-IN" w:bidi="hi-IN"/>
        </w:rPr>
        <w:t xml:space="preserve"> Кінцевий строк подання пропозицій </w:t>
      </w:r>
      <w:r>
        <w:rPr>
          <w:rFonts w:eastAsia="Andale Sans UI" w:cs="Times New Roman" w:ascii="Times New Roman" w:hAnsi="Times New Roman"/>
          <w:color w:val="auto"/>
          <w:kern w:val="2"/>
          <w:sz w:val="24"/>
          <w:szCs w:val="24"/>
          <w:lang w:eastAsia="hi-IN" w:bidi="hi-IN"/>
        </w:rPr>
        <w:t>01.02.2024 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13.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Перелік критеріїв та методика оцінки пропозицій: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  <w:t xml:space="preserve">Критерієм оцінки є ціна (100%). 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 </w:t>
      </w:r>
      <w:bookmarkStart w:id="9" w:name="n1176"/>
      <w:bookmarkEnd w:id="9"/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Строк розгляду найбільш економічно вигідної пропозиції не повинен перевищувати п’ять робочих днів з дня завершення електронного аукціону.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14.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Розмір та умови надання забезпечення пропозицій учасників – не вимагається.</w:t>
      </w:r>
      <w:bookmarkStart w:id="10" w:name="n1153"/>
      <w:bookmarkEnd w:id="1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15.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Розмір та умови надання забезпечення виконання договору про закупівлю – не вимагається.</w:t>
      </w:r>
      <w:bookmarkStart w:id="11" w:name="n1154"/>
      <w:bookmarkEnd w:id="1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16.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Розмір мінімального кроку пониження ціни під час електронного аукціону:  0,5 % очікуваної вартості закупівлі.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b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17. Перелік документів, які учасник надає в складі своєї пропозиції: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hi-IN" w:bidi="hi-IN"/>
        </w:rPr>
        <w:tab/>
        <w:t>1) Інформаційний лист із загальними відомостями про учасника (повна назва, код ЄДРПОУ/ідентифікаційний код), адреса, керівництво, контактні телефони та електронна адреса).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ab/>
        <w:t xml:space="preserve">2) </w:t>
      </w:r>
      <w:r>
        <w:rPr>
          <w:rFonts w:eastAsia="Andale Sans UI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uk-UA" w:eastAsia="hi-IN" w:bidi="hi-IN"/>
        </w:rPr>
        <w:t>Документ(и), що підтверджують повноваження посадової особи або представника учасника спрощеної закупівлі щодо підпису документів пропозиції учасника та договору (виписка з протоколу засновників, наказ про призначення, довіреність, доручення або іншим документом тощо) (ця вимога встановлюється до учасників – юридичних осіб).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bookmarkStart w:id="12" w:name="n273"/>
      <w:bookmarkEnd w:id="12"/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ab/>
        <w:t>3) Довідка довільної форми з інформацією про наявність в учасника працівників відповідної кваліфікації/оцінювачів з експертної грошової оцінки земельних ділянок (не менше одного), які мають необхідні знання та досвід для надання послуг за предметом закупівлі та перебувають з учасником у трудових відносинах (зазначити вид трудових відносин)</w:t>
      </w:r>
      <w:r>
        <w:rPr>
          <w:rFonts w:eastAsia="Andale Sans UI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uk-UA" w:eastAsia="hi-IN" w:bidi="hi-IN"/>
        </w:rPr>
        <w:t>, наявність оцінювачів, залучених за цивільно правовими договорами, які будуть надавати послуги/виконувати роботи.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ab/>
        <w:t xml:space="preserve">До довідки необхідно долучити: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ab/>
        <w:t>- чинні протягом терміну надання послуг сертифікати оцінювачів з експертної грошової оцінки земельних ділянок, на кожного оцінювача зазначеного в довідці;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ab/>
        <w:t>- витяги з Державного реєстру оцінювачів з експертної грошової оцінки земельних ділянок (з відомостями про останнє підвищення кваліфікації оцінювача), на кожного оцінювача зазначеного в довідці;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ab/>
        <w:t xml:space="preserve">4) Довідка довільної форми про досвід учасника/оцінювачів у виконанні робіт з оцінки майна </w:t>
      </w:r>
      <w:r>
        <w:rPr>
          <w:rFonts w:eastAsia="Andale Sans UI" w:cs="Times New Roman" w:ascii="Times New Roman" w:hAnsi="Times New Roman"/>
          <w:b w:val="false"/>
          <w:bCs/>
          <w:iCs/>
          <w:color w:val="000000"/>
          <w:kern w:val="2"/>
          <w:sz w:val="24"/>
          <w:szCs w:val="24"/>
          <w:shd w:fill="FFFFFF" w:val="clear"/>
          <w:lang w:val="uk-UA" w:eastAsia="hi-IN" w:bidi="hi-IN"/>
        </w:rPr>
        <w:t>(не менше двох аналогічних договорів)*, яка повинна містити назву</w:t>
      </w: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 xml:space="preserve"> організацій-замовників, їх адресу, коди ЄДРПОУ та контактні телефонами, найменування предмету договорів та їх суми.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ab/>
      </w:r>
      <w:r>
        <w:rPr>
          <w:rFonts w:cs="Times New Roman" w:ascii="Times New Roman" w:hAnsi="Times New Roman"/>
          <w:sz w:val="24"/>
          <w:szCs w:val="24"/>
        </w:rPr>
        <w:t>*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Аналогічними вважаються договори </w:t>
      </w:r>
      <w:r>
        <w:rPr>
          <w:rFonts w:eastAsia="Andale Sans UI" w:cs="Times New Roman" w:ascii="Times New Roman" w:hAnsi="Times New Roman"/>
          <w:b w:val="false"/>
          <w:bCs w:val="false"/>
          <w:i/>
          <w:iCs/>
          <w:color w:val="000000"/>
          <w:kern w:val="2"/>
          <w:sz w:val="24"/>
          <w:szCs w:val="24"/>
          <w:lang w:val="uk-UA" w:eastAsia="hi-IN" w:bidi="hi-IN"/>
        </w:rPr>
        <w:t xml:space="preserve">на виконання робіт/надання послуг з проведення експертної грошової оцінки земельної ділянки,  визначення вартості та виконання звіту про експертну грошову оцінку земельних ділянок.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Додатково до вказаної довідки Учасник має надати: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вказані у довідці договори з усіма додатками;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документи, що підтверджують виконання вказаних у довідці договорів (акти приймання-передачі виконаних робіт/наданих робіт),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ab/>
        <w:t>- відгук від організацій замовників про якість та повноту виконання вказаних у довідці договорів.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 xml:space="preserve">5)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>У</w:t>
      </w:r>
      <w:r>
        <w:rPr>
          <w:rFonts w:eastAsia="Times New Roman" w:cs="Times New Roman" w:ascii="Times New Roman" w:hAnsi="Times New Roman"/>
        </w:rPr>
        <w:t xml:space="preserve">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пропозиції має надати стосовно таких осіб:</w:t>
      </w:r>
    </w:p>
    <w:p>
      <w:pPr>
        <w:pStyle w:val="Standard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</w:rPr>
        <w:t xml:space="preserve">-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 </w:t>
      </w:r>
      <w:r>
        <w:rPr>
          <w:rFonts w:eastAsia="Times New Roman" w:cs="Times New Roman" w:ascii="Times New Roman" w:hAnsi="Times New Roman"/>
          <w:i/>
        </w:rPr>
        <w:t>або</w:t>
      </w:r>
    </w:p>
    <w:p>
      <w:pPr>
        <w:pStyle w:val="Standard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i/>
        </w:rPr>
        <w:t xml:space="preserve">- </w:t>
      </w:r>
      <w:r>
        <w:rPr>
          <w:rFonts w:eastAsia="Times New Roman" w:cs="Times New Roman" w:ascii="Times New Roman" w:hAnsi="Times New Roman"/>
        </w:rPr>
        <w:t xml:space="preserve">посвідчення біженця чи документ, що підтверджує надання притулку в Україні, </w:t>
      </w:r>
      <w:r>
        <w:rPr>
          <w:rFonts w:eastAsia="Times New Roman" w:cs="Times New Roman" w:ascii="Times New Roman" w:hAnsi="Times New Roman"/>
          <w:i/>
        </w:rPr>
        <w:t>або</w:t>
      </w:r>
    </w:p>
    <w:p>
      <w:pPr>
        <w:pStyle w:val="Standard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i/>
        </w:rPr>
        <w:t xml:space="preserve">- </w:t>
      </w:r>
      <w:r>
        <w:rPr>
          <w:rFonts w:eastAsia="Times New Roman" w:cs="Times New Roman" w:ascii="Times New Roman" w:hAnsi="Times New Roman"/>
        </w:rPr>
        <w:t xml:space="preserve">посвідчення особи, яка потребує додаткового захисту в Україні, </w:t>
      </w:r>
      <w:r>
        <w:rPr>
          <w:rFonts w:eastAsia="Times New Roman" w:cs="Times New Roman" w:ascii="Times New Roman" w:hAnsi="Times New Roman"/>
          <w:i/>
        </w:rPr>
        <w:t>або</w:t>
      </w:r>
    </w:p>
    <w:p>
      <w:pPr>
        <w:pStyle w:val="Standard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i/>
        </w:rPr>
        <w:t xml:space="preserve">- </w:t>
      </w:r>
      <w:r>
        <w:rPr>
          <w:rFonts w:eastAsia="Times New Roman" w:cs="Times New Roman" w:ascii="Times New Roman" w:hAnsi="Times New Roman"/>
        </w:rPr>
        <w:t xml:space="preserve">посвідчення особи, якій надано тимчасовий захист в Україні, </w:t>
      </w:r>
      <w:r>
        <w:rPr>
          <w:rFonts w:eastAsia="Times New Roman" w:cs="Times New Roman" w:ascii="Times New Roman" w:hAnsi="Times New Roman"/>
          <w:i/>
        </w:rPr>
        <w:t>або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i/>
        </w:rPr>
        <w:tab/>
        <w:t xml:space="preserve">- </w:t>
      </w:r>
      <w:r>
        <w:rPr>
          <w:rFonts w:eastAsia="Times New Roman" w:cs="Times New Roman" w:ascii="Times New Roman" w:hAnsi="Times New Roman"/>
        </w:rPr>
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b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18. Умови та спосіб подання пропозиції учасника: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  <w:t>Усі документи, як завантаженні файли, що подаються учасником у складі пропозиції повинні бути скановані з оригіналів або копій документів, у вигляді електронного (их) файлів у форматі .pdf, .jpg, bmp.а, тощо та/або розширення програм, що здійснюють архівацію даних. Усі документи повинні бути «читабельними» у повному обсязі (скановані у якості достатній для читання усього документу).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  <w:t>Інформаційні листи та довідки подаються на фірмовому бланку за підписом уповноваженої особи та відбитком печатки учасника (за наявності).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  <w:t>Документи пропозиції можуть бути створені та подані учасниками з урахуванням вимог законів України «Про електронні документи та електронний документообіг» та «Про електронні довірчі послуги» у формі електронних документів.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  <w:t>Замовник не вимагає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електронного цифрового підпису/кваліфікованого електронного підпису.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  <w:t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електронний підпис (або кваліфікований електронний підпис) учасника/уповноваженої особи учасника процедури закупівлі.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tabs>
          <w:tab w:val="clear" w:pos="708"/>
          <w:tab w:val="left" w:pos="1440" w:leader="none"/>
        </w:tabs>
        <w:spacing w:lineRule="atLeast" w:line="100" w:before="0" w:after="0"/>
        <w:ind w:left="360" w:hanging="0"/>
        <w:jc w:val="both"/>
        <w:rPr>
          <w:rFonts w:ascii="Times New Roman" w:hAnsi="Times New Roman" w:eastAsia="Times New Roman"/>
          <w:bCs/>
          <w:i/>
          <w:i/>
          <w:sz w:val="24"/>
          <w:szCs w:val="24"/>
        </w:rPr>
      </w:pPr>
      <w:r>
        <w:rPr>
          <w:rFonts w:eastAsia="Times New Roman" w:ascii="Times New Roman" w:hAnsi="Times New Roman"/>
          <w:bCs/>
          <w:i/>
          <w:sz w:val="24"/>
          <w:szCs w:val="24"/>
        </w:rPr>
        <w:t>Примітки:</w:t>
      </w:r>
    </w:p>
    <w:p>
      <w:pPr>
        <w:pStyle w:val="Normal"/>
        <w:numPr>
          <w:ilvl w:val="0"/>
          <w:numId w:val="1"/>
        </w:numPr>
        <w:suppressAutoHyphens w:val="true"/>
        <w:spacing w:lineRule="atLeast" w:line="100" w:before="0" w:after="0"/>
        <w:jc w:val="both"/>
        <w:rPr>
          <w:rFonts w:ascii="Times New Roman" w:hAnsi="Times New Roman" w:eastAsia="Times New Roman"/>
          <w:bCs/>
          <w:i/>
          <w:i/>
          <w:sz w:val="24"/>
          <w:szCs w:val="24"/>
        </w:rPr>
      </w:pPr>
      <w:r>
        <w:rPr>
          <w:rFonts w:eastAsia="Times New Roman" w:ascii="Times New Roman" w:hAnsi="Times New Roman"/>
          <w:bCs/>
          <w:i/>
          <w:sz w:val="24"/>
          <w:szCs w:val="24"/>
        </w:rPr>
        <w:t>У разі неможливості надати будь-який документ, який вимагається умовами Оголошення Учаснику необхідно обов’язково надати пояснення в якому необхідно зазначити законодавчі підстави ненадання таких документів.</w:t>
      </w:r>
    </w:p>
    <w:p>
      <w:pPr>
        <w:pStyle w:val="Normal"/>
        <w:numPr>
          <w:ilvl w:val="0"/>
          <w:numId w:val="1"/>
        </w:numPr>
        <w:suppressAutoHyphens w:val="true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Cs/>
          <w:i/>
          <w:sz w:val="24"/>
          <w:szCs w:val="24"/>
        </w:rPr>
        <w:t>Усі довідки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Cs/>
          <w:i/>
          <w:sz w:val="24"/>
          <w:szCs w:val="24"/>
        </w:rPr>
        <w:t>та гарантійні листи, складені в довільній формі, мають бути підписані уповноваженою особою Учасника.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tLeast" w:line="100" w:before="0" w:after="0"/>
        <w:jc w:val="both"/>
        <w:rPr>
          <w:rFonts w:ascii="Times New Roman" w:hAnsi="Times New Roman" w:eastAsia="Times New Roman"/>
          <w:bCs/>
          <w:i/>
          <w:i/>
          <w:sz w:val="24"/>
          <w:szCs w:val="24"/>
        </w:rPr>
      </w:pPr>
      <w:r>
        <w:rPr>
          <w:rFonts w:eastAsia="Times New Roman" w:ascii="Times New Roman" w:hAnsi="Times New Roman"/>
          <w:bCs/>
          <w:i/>
          <w:sz w:val="24"/>
          <w:szCs w:val="24"/>
        </w:rPr>
        <w:t xml:space="preserve">Відсутність будь-яких запитань або уточнень стосовно змісту та викладення вимог цього оголошення з боку учасників закупівлі, означатиме, що учасники закупівлі, що беруть участь в цих торгах, повністю усвідомлюють зміст цього оголошення,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uk-UA" w:eastAsia="uk-UA"/>
        </w:rPr>
        <w:t xml:space="preserve">гарантують надавати послуги/виконувати роботи, які є предметом даної закупівлі, за кінцеву ціну, заявлену ними на електронному аукціоні (у разі його проведення) в повній відповідності вимогам, встановленим замовником у цьому Оголошенні, </w:t>
      </w:r>
      <w:r>
        <w:rPr>
          <w:rFonts w:eastAsia="Times New Roman" w:ascii="Times New Roman" w:hAnsi="Times New Roman"/>
          <w:bCs/>
          <w:i/>
          <w:sz w:val="24"/>
          <w:szCs w:val="24"/>
        </w:rPr>
        <w:t>а також погоджуються з умовами проєкту договору, наведеному у Додатку 1 до цього Оголошення.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</w:r>
      <w:bookmarkStart w:id="13" w:name="_Hlk402810821"/>
      <w:bookmarkStart w:id="14" w:name="_Hlk402810821"/>
      <w:bookmarkEnd w:id="14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Додатки до оголошення: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Додаток №1 Проєкт договору.</w:t>
      </w:r>
    </w:p>
    <w:p>
      <w:pPr>
        <w:pStyle w:val="1"/>
        <w:widowControl w:val="false"/>
        <w:spacing w:lineRule="auto" w:line="240"/>
        <w:ind w:left="1080" w:hanging="0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lang w:val="uk-UA"/>
        </w:rPr>
      </w:r>
    </w:p>
    <w:p>
      <w:pPr>
        <w:pStyle w:val="1"/>
        <w:widowControl w:val="false"/>
        <w:spacing w:lineRule="auto" w:line="240" w:before="0" w:after="0"/>
        <w:ind w:left="1080" w:hanging="0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lang w:val="uk-UA"/>
        </w:rPr>
      </w:r>
    </w:p>
    <w:p>
      <w:pPr>
        <w:pStyle w:val="Normal"/>
        <w:pageBreakBefore w:val="false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3"/>
          <w:szCs w:val="23"/>
          <w:lang w:val="uk-UA" w:eastAsia="uk-UA"/>
        </w:rPr>
        <w:t>У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uk-UA"/>
        </w:rPr>
        <w:t>повноважен</w:t>
      </w:r>
      <w:r>
        <w:rPr>
          <w:rFonts w:ascii="Times New Roman" w:hAnsi="Times New Roman"/>
          <w:b/>
          <w:bCs/>
          <w:color w:val="000000"/>
          <w:sz w:val="23"/>
          <w:szCs w:val="23"/>
          <w:lang w:val="uk-UA" w:eastAsia="uk-UA"/>
        </w:rPr>
        <w:t>а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uk-UA"/>
        </w:rPr>
        <w:t xml:space="preserve"> особ</w:t>
      </w:r>
      <w:r>
        <w:rPr>
          <w:rFonts w:ascii="Times New Roman" w:hAnsi="Times New Roman"/>
          <w:b/>
          <w:bCs/>
          <w:color w:val="000000"/>
          <w:sz w:val="23"/>
          <w:szCs w:val="23"/>
          <w:lang w:val="uk-UA" w:eastAsia="uk-UA"/>
        </w:rPr>
        <w:t>а з питань закупівель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uk-UA"/>
        </w:rPr>
        <w:t xml:space="preserve"> 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08"/>
          <w:tab w:val="left" w:pos="426" w:leader="none"/>
          <w:tab w:val="left" w:pos="720" w:leader="none"/>
          <w:tab w:val="left" w:pos="99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  <w:lang w:eastAsia="uk-UA"/>
        </w:rPr>
        <w:t>виконавчого комітету Славутської міської ради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  <w:lang w:val="uk-UA" w:eastAsia="uk-UA"/>
        </w:rPr>
        <w:t xml:space="preserve">                                           Тетяна НОВАК</w:t>
      </w:r>
    </w:p>
    <w:p>
      <w:pPr>
        <w:pStyle w:val="Normal"/>
        <w:widowControl/>
        <w:shd w:val="clear" w:fill="auto"/>
        <w:tabs>
          <w:tab w:val="clear" w:pos="708"/>
          <w:tab w:val="left" w:pos="426" w:leader="none"/>
          <w:tab w:val="left" w:pos="720" w:leader="none"/>
          <w:tab w:val="left" w:pos="993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  <w:lang w:val="uk-UA" w:eastAsia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  <w:lang w:val="uk-UA" w:eastAsia="uk-UA"/>
        </w:rPr>
      </w:r>
    </w:p>
    <w:p>
      <w:pPr>
        <w:pStyle w:val="Normal"/>
        <w:widowControl/>
        <w:shd w:val="clear" w:fill="auto"/>
        <w:tabs>
          <w:tab w:val="clear" w:pos="708"/>
          <w:tab w:val="left" w:pos="426" w:leader="none"/>
          <w:tab w:val="left" w:pos="720" w:leader="none"/>
          <w:tab w:val="left" w:pos="993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  <w:lang w:val="uk-UA" w:eastAsia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  <w:lang w:val="uk-UA" w:eastAsia="uk-UA"/>
        </w:rPr>
      </w:r>
    </w:p>
    <w:p>
      <w:pPr>
        <w:pStyle w:val="1"/>
        <w:widowControl w:val="false"/>
        <w:shd w:val="clear" w:fill="auto"/>
        <w:tabs>
          <w:tab w:val="clear" w:pos="708"/>
          <w:tab w:val="left" w:pos="426" w:leader="none"/>
          <w:tab w:val="left" w:pos="720" w:leader="none"/>
          <w:tab w:val="left" w:pos="993" w:leader="none"/>
        </w:tabs>
        <w:bidi w:val="0"/>
        <w:spacing w:lineRule="auto" w:line="240" w:before="0" w:after="0"/>
        <w:ind w:left="709" w:right="113" w:firstLine="707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08a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76151c"/>
    <w:rPr>
      <w:color w:val="0000FF"/>
      <w:u w:val="single"/>
    </w:rPr>
  </w:style>
  <w:style w:type="character" w:styleId="Style15" w:customStyle="1">
    <w:name w:val="Текст у виносці Знак"/>
    <w:basedOn w:val="DefaultParagraphFont"/>
    <w:link w:val="BalloonText"/>
    <w:uiPriority w:val="99"/>
    <w:semiHidden/>
    <w:qFormat/>
    <w:rsid w:val="00050835"/>
    <w:rPr>
      <w:rFonts w:ascii="Segoe UI" w:hAnsi="Segoe UI" w:cs="Segoe UI"/>
      <w:sz w:val="18"/>
      <w:szCs w:val="18"/>
    </w:rPr>
  </w:style>
  <w:style w:type="character" w:styleId="Style16" w:customStyle="1">
    <w:name w:val="Звичайний (веб) Знак"/>
    <w:link w:val="NormalWeb"/>
    <w:qFormat/>
    <w:locked/>
    <w:rsid w:val="00b24171"/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3" w:customStyle="1">
    <w:name w:val="Основной текст (3) + Не полужирный"/>
    <w:qFormat/>
    <w:rsid w:val="00296d6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b08a6"/>
    <w:rPr>
      <w:color w:val="605E5C"/>
      <w:shd w:fill="E1DFDD" w:val="clear"/>
    </w:rPr>
  </w:style>
  <w:style w:type="character" w:styleId="Style17" w:customStyle="1">
    <w:name w:val="Без інтервалів Знак"/>
    <w:link w:val="NoSpacing"/>
    <w:uiPriority w:val="1"/>
    <w:qFormat/>
    <w:locked/>
    <w:rsid w:val="00cc2c59"/>
    <w:rPr>
      <w:rFonts w:ascii="Times New Roman CYR" w:hAnsi="Times New Roman CYR" w:eastAsia="Times New Roman" w:cs="Times New Roman CYR"/>
      <w:sz w:val="24"/>
      <w:szCs w:val="24"/>
      <w:lang w:val="ru-RU" w:eastAsia="ru-RU"/>
    </w:rPr>
  </w:style>
  <w:style w:type="character" w:styleId="Style18">
    <w:name w:val="Шрифт абзацу за замовчуванням"/>
    <w:qFormat/>
    <w:rPr/>
  </w:style>
  <w:style w:type="character" w:styleId="WW8Num5z0">
    <w:name w:val="WW8Num5z0"/>
    <w:qFormat/>
    <w:rPr>
      <w:u w:val="none"/>
    </w:rPr>
  </w:style>
  <w:style w:type="character" w:styleId="WW8Num4z0">
    <w:name w:val="WW8Num4z0"/>
    <w:qFormat/>
    <w:rPr>
      <w:u w:val="none"/>
    </w:rPr>
  </w:style>
  <w:style w:type="character" w:styleId="WW8Num3z0">
    <w:name w:val="WW8Num3z0"/>
    <w:qFormat/>
    <w:rPr>
      <w:u w:val="none"/>
    </w:rPr>
  </w:style>
  <w:style w:type="character" w:styleId="WW8Num2z0">
    <w:name w:val="WW8Num2z0"/>
    <w:qFormat/>
    <w:rPr>
      <w:u w:val="none"/>
    </w:rPr>
  </w:style>
  <w:style w:type="character" w:styleId="WW8Num1z2">
    <w:name w:val="WW8Num1z2"/>
    <w:qFormat/>
    <w:rPr>
      <w:rFonts w:cs="Noto Sans"/>
      <w:sz w:val="20"/>
      <w:szCs w:val="20"/>
    </w:rPr>
  </w:style>
  <w:style w:type="character" w:styleId="WW8Num1z1">
    <w:name w:val="WW8Num1z1"/>
    <w:qFormat/>
    <w:rPr>
      <w:rFonts w:cs="Courier New"/>
      <w:sz w:val="20"/>
      <w:szCs w:val="20"/>
    </w:rPr>
  </w:style>
  <w:style w:type="character" w:styleId="WW8Num1z0">
    <w:name w:val="WW8Num1z0"/>
    <w:qFormat/>
    <w:rPr>
      <w:rFonts w:cs="Noto Sans"/>
      <w:color w:val="000000"/>
      <w:sz w:val="20"/>
      <w:szCs w:val="20"/>
    </w:rPr>
  </w:style>
  <w:style w:type="character" w:styleId="Style19">
    <w:name w:val="Шрифт абзацу за промовчанням"/>
    <w:qFormat/>
    <w:rPr/>
  </w:style>
  <w:style w:type="character" w:styleId="Style20">
    <w:name w:val="Маркери"/>
    <w:qFormat/>
    <w:rPr>
      <w:rFonts w:ascii="OpenSymbol" w:hAnsi="OpenSymbol" w:eastAsia="OpenSymbol" w:cs="OpenSymbol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Rvps2" w:customStyle="1">
    <w:name w:val="rvps2"/>
    <w:basedOn w:val="Normal"/>
    <w:qFormat/>
    <w:rsid w:val="007615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795f8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05083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 w:customStyle="1">
    <w:name w:val="Знак Знак Знак Знак"/>
    <w:basedOn w:val="Normal"/>
    <w:qFormat/>
    <w:rsid w:val="00c248c7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1" w:customStyle="1">
    <w:name w:val="Звичайний1"/>
    <w:qFormat/>
    <w:rsid w:val="0032706d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ar-SA" w:bidi="ar-SA"/>
    </w:rPr>
  </w:style>
  <w:style w:type="paragraph" w:styleId="NormalWeb">
    <w:name w:val="Normal (Web)"/>
    <w:basedOn w:val="Normal"/>
    <w:link w:val="Style16"/>
    <w:qFormat/>
    <w:rsid w:val="00b241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2" w:customStyle="1">
    <w:name w:val="Звичайний2"/>
    <w:qFormat/>
    <w:rsid w:val="00ab08a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ar-SA" w:bidi="ar-SA"/>
    </w:rPr>
  </w:style>
  <w:style w:type="paragraph" w:styleId="NoSpacing">
    <w:name w:val="No Spacing"/>
    <w:link w:val="Style17"/>
    <w:uiPriority w:val="1"/>
    <w:qFormat/>
    <w:rsid w:val="00cc2c5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 CYR" w:hAnsi="Times New Roman CYR" w:eastAsia="Times New Roman" w:cs="Times New Roman CYR"/>
      <w:color w:val="auto"/>
      <w:kern w:val="0"/>
      <w:sz w:val="24"/>
      <w:szCs w:val="24"/>
      <w:lang w:val="ru-RU" w:eastAsia="ru-RU" w:bidi="ar-SA"/>
    </w:rPr>
  </w:style>
  <w:style w:type="paragraph" w:styleId="31" w:customStyle="1">
    <w:name w:val="Звичайний3"/>
    <w:qFormat/>
    <w:rsid w:val="00443d9b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ar-SA" w:bidi="ar-SA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zh-CN" w:bidi="ar-SA"/>
    </w:rPr>
  </w:style>
  <w:style w:type="paragraph" w:styleId="Textbody">
    <w:name w:val="Text body"/>
    <w:qFormat/>
    <w:pPr>
      <w:widowControl/>
      <w:suppressAutoHyphens w:val="true"/>
      <w:bidi w:val="0"/>
      <w:spacing w:lineRule="auto" w:line="276" w:before="0" w:after="283"/>
      <w:jc w:val="left"/>
    </w:pPr>
    <w:rPr>
      <w:rFonts w:ascii="Calibri" w:hAnsi="Calibri" w:eastAsia="Segoe UI" w:cs="Tahoma" w:ascii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Style27">
    <w:name w:val="Звичайний (веб)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21">
    <w:name w:val="Основной текст с отступом 21"/>
    <w:qFormat/>
    <w:pPr>
      <w:widowControl/>
      <w:suppressAutoHyphens w:val="true"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Style28">
    <w:name w:val="Абзац списку"/>
    <w:qFormat/>
    <w:pPr>
      <w:widowControl/>
      <w:suppressAutoHyphens w:val="true"/>
      <w:bidi w:val="0"/>
      <w:spacing w:before="0" w:after="0"/>
      <w:ind w:left="720" w:hanging="0"/>
      <w:jc w:val="left"/>
    </w:pPr>
    <w:rPr>
      <w:rFonts w:ascii="Calibri" w:hAnsi="Calibri" w:eastAsia="Segoe UI" w:cs="Tahoma" w:ascii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Style29">
    <w:name w:val="Содержимое таблицы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0"/>
      <w:sz w:val="22"/>
      <w:szCs w:val="22"/>
      <w:lang w:val="uk-UA" w:eastAsia="en-US" w:bidi="en-US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uk-UA" w:eastAsia="zh-CN" w:bidi="hi-IN"/>
    </w:rPr>
  </w:style>
  <w:style w:type="paragraph" w:styleId="Style30">
    <w:name w:val="Назва об'єкта"/>
    <w:basedOn w:val="Normal"/>
    <w:qFormat/>
    <w:pPr>
      <w:spacing w:before="120" w:after="120"/>
    </w:pPr>
    <w:rPr>
      <w:rFonts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95f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l_nova@ukr.ne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Application>LibreOffice/7.3.0.3$Windows_X86_64 LibreOffice_project/0f246aa12d0eee4a0f7adcefbf7c878fc2238db3</Application>
  <AppVersion>15.0000</AppVersion>
  <Pages>3</Pages>
  <Words>1188</Words>
  <Characters>8056</Characters>
  <CharactersWithSpaces>9272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dc:description/>
  <dc:language>uk-UA</dc:language>
  <cp:lastModifiedBy/>
  <dcterms:modified xsi:type="dcterms:W3CDTF">2024-01-23T14:50:17Z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