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C84D8E">
            <w:pPr>
              <w:rPr>
                <w:lang w:val="uk-UA" w:eastAsia="en-US"/>
              </w:rPr>
            </w:pPr>
            <w:r w:rsidRPr="004709C5">
              <w:rPr>
                <w:lang w:val="uk-UA" w:eastAsia="en-US"/>
              </w:rPr>
              <w:t xml:space="preserve">Протокол № </w:t>
            </w:r>
            <w:r w:rsidR="00C128BA">
              <w:rPr>
                <w:lang w:val="uk-UA" w:eastAsia="en-US"/>
              </w:rPr>
              <w:t>40</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C84D8E">
            <w:pPr>
              <w:rPr>
                <w:bCs/>
              </w:rPr>
            </w:pPr>
            <w:r w:rsidRPr="004709C5">
              <w:rPr>
                <w:bCs/>
              </w:rPr>
              <w:t xml:space="preserve">від </w:t>
            </w:r>
            <w:r w:rsidRPr="004709C5">
              <w:rPr>
                <w:rStyle w:val="ac"/>
              </w:rPr>
              <w:t>«</w:t>
            </w:r>
            <w:r w:rsidR="00894B4D">
              <w:rPr>
                <w:rStyle w:val="ac"/>
                <w:lang w:val="uk-UA"/>
              </w:rPr>
              <w:t>25</w:t>
            </w:r>
            <w:r w:rsidRPr="004709C5">
              <w:rPr>
                <w:rStyle w:val="ac"/>
              </w:rPr>
              <w:t xml:space="preserve">» </w:t>
            </w:r>
            <w:r w:rsidR="00894B4D">
              <w:rPr>
                <w:rStyle w:val="ac"/>
                <w:lang w:val="uk-UA"/>
              </w:rPr>
              <w:t>березня</w:t>
            </w:r>
            <w:r w:rsidRPr="004709C5">
              <w:rPr>
                <w:rStyle w:val="ac"/>
              </w:rPr>
              <w:t xml:space="preserve"> 20</w:t>
            </w:r>
            <w:r w:rsidR="001729EF" w:rsidRPr="004709C5">
              <w:rPr>
                <w:rStyle w:val="ac"/>
              </w:rPr>
              <w:t>2</w:t>
            </w:r>
            <w:r w:rsidR="00263578">
              <w:rPr>
                <w:rStyle w:val="ac"/>
                <w:lang w:val="uk-UA"/>
              </w:rPr>
              <w:t>4</w:t>
            </w:r>
            <w:r w:rsidRPr="004709C5">
              <w:rPr>
                <w:rStyle w:val="ac"/>
              </w:rPr>
              <w:t>року</w:t>
            </w:r>
          </w:p>
        </w:tc>
      </w:tr>
      <w:tr w:rsidR="00C050DC" w:rsidRPr="00894B4D"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263578">
              <w:rPr>
                <w:lang w:val="uk-UA"/>
              </w:rPr>
              <w:t>В.М.Болган</w:t>
            </w:r>
          </w:p>
          <w:p w:rsidR="00C050DC" w:rsidRPr="00894B4D" w:rsidRDefault="00C050DC" w:rsidP="000F29EF">
            <w:pPr>
              <w:rPr>
                <w:szCs w:val="28"/>
                <w:lang w:val="uk-UA"/>
              </w:rPr>
            </w:pPr>
            <w:r w:rsidRPr="00894B4D">
              <w:rPr>
                <w:szCs w:val="28"/>
                <w:lang w:val="uk-UA"/>
              </w:rPr>
              <w:t xml:space="preserve">                    м.п.</w:t>
            </w:r>
          </w:p>
        </w:tc>
      </w:tr>
    </w:tbl>
    <w:p w:rsidR="00C050DC" w:rsidRPr="00894B4D" w:rsidRDefault="00C050DC" w:rsidP="00C050DC">
      <w:pPr>
        <w:ind w:left="320"/>
        <w:jc w:val="right"/>
        <w:rPr>
          <w:lang w:val="uk-UA"/>
        </w:rPr>
      </w:pPr>
    </w:p>
    <w:p w:rsidR="00C050DC" w:rsidRPr="00894B4D" w:rsidRDefault="00C050DC" w:rsidP="00C050DC">
      <w:pPr>
        <w:ind w:left="320"/>
        <w:jc w:val="center"/>
        <w:rPr>
          <w:b/>
          <w:bCs/>
          <w:lang w:val="uk-UA"/>
        </w:rPr>
      </w:pPr>
    </w:p>
    <w:p w:rsidR="00C050DC" w:rsidRPr="00894B4D" w:rsidRDefault="00C050DC" w:rsidP="00C050DC">
      <w:pPr>
        <w:ind w:left="320"/>
        <w:jc w:val="center"/>
        <w:rPr>
          <w:b/>
          <w:bCs/>
          <w:lang w:val="uk-UA"/>
        </w:rPr>
      </w:pPr>
    </w:p>
    <w:p w:rsidR="00C050DC" w:rsidRPr="00894B4D" w:rsidRDefault="00C050DC" w:rsidP="00C050DC">
      <w:pPr>
        <w:ind w:right="-2"/>
        <w:jc w:val="center"/>
        <w:rPr>
          <w:bCs/>
          <w:lang w:val="uk-UA"/>
        </w:rPr>
      </w:pPr>
    </w:p>
    <w:p w:rsidR="000538C8" w:rsidRPr="00894B4D" w:rsidRDefault="000538C8" w:rsidP="00C050DC">
      <w:pPr>
        <w:ind w:right="-2"/>
        <w:jc w:val="center"/>
        <w:rPr>
          <w:bCs/>
          <w:lang w:val="uk-UA"/>
        </w:rPr>
      </w:pPr>
    </w:p>
    <w:p w:rsidR="000538C8" w:rsidRPr="00894B4D" w:rsidRDefault="000538C8" w:rsidP="00C050DC">
      <w:pPr>
        <w:ind w:right="-2"/>
        <w:jc w:val="center"/>
        <w:rPr>
          <w:bCs/>
          <w:lang w:val="uk-UA"/>
        </w:rPr>
      </w:pPr>
    </w:p>
    <w:p w:rsidR="00C050DC" w:rsidRPr="00894B4D" w:rsidRDefault="00C050DC" w:rsidP="00C050DC">
      <w:pPr>
        <w:ind w:right="-2"/>
        <w:jc w:val="center"/>
        <w:rPr>
          <w:bCs/>
          <w:lang w:val="uk-UA"/>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23359F" w:rsidRP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Оброблені фрукти та овочі,</w:t>
      </w:r>
    </w:p>
    <w:p w:rsid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 xml:space="preserve">Код ДК 021-2015 15330000-0 Оброблені фрукти та овочі </w:t>
      </w:r>
    </w:p>
    <w:p w:rsidR="0023359F" w:rsidRDefault="0023359F" w:rsidP="0023359F">
      <w:pPr>
        <w:ind w:right="-2"/>
        <w:jc w:val="center"/>
        <w:rPr>
          <w:rFonts w:eastAsia="Arial" w:cs="Arial"/>
          <w:b/>
          <w:bCs/>
          <w:color w:val="000000"/>
          <w:sz w:val="32"/>
          <w:szCs w:val="32"/>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263578">
        <w:rPr>
          <w:lang w:val="uk-UA"/>
        </w:rPr>
        <w:t>4</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600AD4"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263578">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w:t>
            </w:r>
            <w:r w:rsidR="00263578">
              <w:rPr>
                <w:sz w:val="22"/>
                <w:szCs w:val="22"/>
                <w:lang w:val="uk-UA"/>
              </w:rPr>
              <w:t>Болган Валентина Михайлівна</w:t>
            </w:r>
            <w:r w:rsidR="007D4E2F" w:rsidRPr="00B0593B">
              <w:rPr>
                <w:sz w:val="22"/>
                <w:szCs w:val="22"/>
                <w:lang w:val="uk-UA" w:eastAsia="uk-UA"/>
              </w:rPr>
              <w:t xml:space="preserve">, тел. </w:t>
            </w:r>
            <w:r w:rsidR="00490627">
              <w:rPr>
                <w:sz w:val="22"/>
                <w:szCs w:val="22"/>
                <w:lang w:val="uk-UA"/>
              </w:rPr>
              <w:t>095-</w:t>
            </w:r>
            <w:r w:rsidR="00263578">
              <w:rPr>
                <w:sz w:val="22"/>
                <w:szCs w:val="22"/>
                <w:lang w:val="uk-UA"/>
              </w:rPr>
              <w:t>630-11-85</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0C414C" w:rsidRDefault="0023359F" w:rsidP="0023359F">
            <w:pPr>
              <w:pStyle w:val="ab"/>
              <w:jc w:val="both"/>
              <w:rPr>
                <w:bCs/>
              </w:rPr>
            </w:pPr>
            <w:r w:rsidRPr="0023359F">
              <w:rPr>
                <w:rFonts w:eastAsia="Arial"/>
                <w:b/>
                <w:bCs/>
                <w:sz w:val="22"/>
                <w:szCs w:val="22"/>
              </w:rPr>
              <w:t>Оброблені фрукти та овочі, Код ДК 021-2015 15330000-0 Оброблені фрукти та овочі</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600AD4"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894B4D">
            <w:pPr>
              <w:pStyle w:val="ab"/>
              <w:jc w:val="both"/>
              <w:rPr>
                <w:b/>
                <w:sz w:val="22"/>
                <w:szCs w:val="22"/>
                <w:lang w:val="uk-UA"/>
              </w:rPr>
            </w:pPr>
            <w:r w:rsidRPr="00F9116C">
              <w:rPr>
                <w:sz w:val="22"/>
                <w:szCs w:val="22"/>
                <w:lang w:val="uk-UA"/>
              </w:rPr>
              <w:t>кількість:</w:t>
            </w:r>
            <w:r>
              <w:rPr>
                <w:b/>
                <w:sz w:val="22"/>
                <w:szCs w:val="22"/>
                <w:lang w:val="uk-UA"/>
              </w:rPr>
              <w:t xml:space="preserve"> </w:t>
            </w:r>
            <w:r w:rsidR="00894B4D">
              <w:rPr>
                <w:b/>
                <w:sz w:val="22"/>
                <w:szCs w:val="22"/>
                <w:lang w:val="uk-UA"/>
              </w:rPr>
              <w:t>Суміш сухофруктів зі сливами</w:t>
            </w:r>
            <w:r w:rsidR="0023359F" w:rsidRPr="0023359F">
              <w:rPr>
                <w:b/>
                <w:sz w:val="22"/>
                <w:szCs w:val="22"/>
                <w:lang w:val="uk-UA"/>
              </w:rPr>
              <w:t xml:space="preserve"> – </w:t>
            </w:r>
            <w:r w:rsidR="002558AE">
              <w:rPr>
                <w:b/>
                <w:sz w:val="22"/>
                <w:szCs w:val="22"/>
                <w:lang w:val="uk-UA"/>
              </w:rPr>
              <w:t>200</w:t>
            </w:r>
            <w:r w:rsidR="0023359F" w:rsidRPr="0023359F">
              <w:rPr>
                <w:b/>
                <w:sz w:val="22"/>
                <w:szCs w:val="22"/>
                <w:lang w:val="uk-UA"/>
              </w:rPr>
              <w:t xml:space="preserve">кг, Паста томатна – </w:t>
            </w:r>
            <w:r w:rsidR="002558AE">
              <w:rPr>
                <w:b/>
                <w:sz w:val="22"/>
                <w:szCs w:val="22"/>
                <w:lang w:val="uk-UA"/>
              </w:rPr>
              <w:t>400</w:t>
            </w:r>
            <w:r w:rsidR="0023359F" w:rsidRPr="0023359F">
              <w:rPr>
                <w:b/>
                <w:sz w:val="22"/>
                <w:szCs w:val="22"/>
                <w:lang w:val="uk-UA"/>
              </w:rPr>
              <w:t>к</w:t>
            </w:r>
            <w:r w:rsidR="0023359F">
              <w:rPr>
                <w:b/>
                <w:sz w:val="22"/>
                <w:szCs w:val="22"/>
                <w:lang w:val="uk-UA"/>
              </w:rPr>
              <w:t xml:space="preserve">г, </w:t>
            </w:r>
            <w:r w:rsidR="0023359F" w:rsidRPr="0023359F">
              <w:rPr>
                <w:b/>
                <w:sz w:val="22"/>
                <w:szCs w:val="22"/>
                <w:lang w:val="uk-UA"/>
              </w:rPr>
              <w:t xml:space="preserve"> Чорнослив без кісток </w:t>
            </w:r>
            <w:r w:rsidR="0023359F">
              <w:rPr>
                <w:b/>
                <w:sz w:val="22"/>
                <w:szCs w:val="22"/>
                <w:lang w:val="uk-UA"/>
              </w:rPr>
              <w:t xml:space="preserve">– </w:t>
            </w:r>
            <w:r w:rsidR="002558AE">
              <w:rPr>
                <w:b/>
                <w:sz w:val="22"/>
                <w:szCs w:val="22"/>
                <w:lang w:val="uk-UA"/>
              </w:rPr>
              <w:t>50</w:t>
            </w:r>
            <w:r w:rsidR="0023359F">
              <w:rPr>
                <w:b/>
                <w:sz w:val="22"/>
                <w:szCs w:val="22"/>
                <w:lang w:val="uk-UA"/>
              </w:rPr>
              <w:t xml:space="preserve">кг, </w:t>
            </w:r>
            <w:r w:rsidR="0023359F" w:rsidRPr="0023359F">
              <w:rPr>
                <w:b/>
                <w:sz w:val="22"/>
                <w:szCs w:val="22"/>
                <w:lang w:val="uk-UA"/>
              </w:rPr>
              <w:t>Горошок заморожений</w:t>
            </w:r>
            <w:r w:rsidR="0023359F">
              <w:rPr>
                <w:b/>
                <w:sz w:val="22"/>
                <w:szCs w:val="22"/>
                <w:lang w:val="uk-UA"/>
              </w:rPr>
              <w:t xml:space="preserve"> – </w:t>
            </w:r>
            <w:r w:rsidR="002558AE">
              <w:rPr>
                <w:b/>
                <w:sz w:val="22"/>
                <w:szCs w:val="22"/>
                <w:lang w:val="uk-UA"/>
              </w:rPr>
              <w:t>200</w:t>
            </w:r>
            <w:r w:rsidR="0023359F">
              <w:rPr>
                <w:b/>
                <w:sz w:val="22"/>
                <w:szCs w:val="22"/>
                <w:lang w:val="uk-UA"/>
              </w:rPr>
              <w:t xml:space="preserve">кг, </w:t>
            </w:r>
            <w:r w:rsidR="0023359F" w:rsidRPr="0023359F">
              <w:rPr>
                <w:b/>
                <w:sz w:val="22"/>
                <w:szCs w:val="22"/>
                <w:lang w:val="uk-UA"/>
              </w:rPr>
              <w:t xml:space="preserve">Заморожені ягоди вишні </w:t>
            </w:r>
            <w:r w:rsidR="0023359F">
              <w:rPr>
                <w:b/>
                <w:sz w:val="22"/>
                <w:szCs w:val="22"/>
                <w:lang w:val="uk-UA"/>
              </w:rPr>
              <w:t xml:space="preserve">– </w:t>
            </w:r>
            <w:r w:rsidR="002558AE">
              <w:rPr>
                <w:b/>
                <w:sz w:val="22"/>
                <w:szCs w:val="22"/>
                <w:lang w:val="uk-UA"/>
              </w:rPr>
              <w:t>200</w:t>
            </w:r>
            <w:r w:rsidR="0023359F">
              <w:rPr>
                <w:b/>
                <w:sz w:val="22"/>
                <w:szCs w:val="22"/>
                <w:lang w:val="uk-UA"/>
              </w:rPr>
              <w:t xml:space="preserve">кг, </w:t>
            </w:r>
            <w:r w:rsidR="0023359F" w:rsidRPr="0023359F">
              <w:rPr>
                <w:b/>
                <w:sz w:val="22"/>
                <w:szCs w:val="22"/>
                <w:lang w:val="uk-UA"/>
              </w:rPr>
              <w:t>Суміш</w:t>
            </w:r>
            <w:r w:rsidR="00894B4D">
              <w:rPr>
                <w:b/>
                <w:sz w:val="22"/>
                <w:szCs w:val="22"/>
                <w:lang w:val="uk-UA"/>
              </w:rPr>
              <w:t xml:space="preserve"> фруктова  заморожена</w:t>
            </w:r>
            <w:r w:rsidR="0023359F">
              <w:rPr>
                <w:b/>
                <w:sz w:val="22"/>
                <w:szCs w:val="22"/>
                <w:lang w:val="uk-UA"/>
              </w:rPr>
              <w:t xml:space="preserve"> – </w:t>
            </w:r>
            <w:r w:rsidR="00894B4D">
              <w:rPr>
                <w:b/>
                <w:sz w:val="22"/>
                <w:szCs w:val="22"/>
                <w:lang w:val="uk-UA"/>
              </w:rPr>
              <w:t>1</w:t>
            </w:r>
            <w:r w:rsidR="002558AE">
              <w:rPr>
                <w:b/>
                <w:sz w:val="22"/>
                <w:szCs w:val="22"/>
                <w:lang w:val="uk-UA"/>
              </w:rPr>
              <w:t>00</w:t>
            </w:r>
            <w:r w:rsidR="0023359F">
              <w:rPr>
                <w:b/>
                <w:sz w:val="22"/>
                <w:szCs w:val="22"/>
                <w:lang w:val="uk-UA"/>
              </w:rPr>
              <w:t xml:space="preserve">кг, Капуста квашена – </w:t>
            </w:r>
            <w:r w:rsidR="00600AD4">
              <w:rPr>
                <w:b/>
                <w:sz w:val="22"/>
                <w:szCs w:val="22"/>
                <w:lang w:val="uk-UA"/>
              </w:rPr>
              <w:t>8</w:t>
            </w:r>
            <w:r w:rsidR="002558AE">
              <w:rPr>
                <w:b/>
                <w:sz w:val="22"/>
                <w:szCs w:val="22"/>
                <w:lang w:val="uk-UA"/>
              </w:rPr>
              <w:t>0</w:t>
            </w:r>
            <w:r w:rsidR="0023359F">
              <w:rPr>
                <w:b/>
                <w:sz w:val="22"/>
                <w:szCs w:val="22"/>
                <w:lang w:val="uk-UA"/>
              </w:rPr>
              <w:t>кг</w:t>
            </w:r>
            <w:r w:rsidR="00600AD4">
              <w:rPr>
                <w:b/>
                <w:sz w:val="22"/>
                <w:szCs w:val="22"/>
                <w:lang w:val="uk-UA"/>
              </w:rPr>
              <w:t>, Помідори соло</w:t>
            </w:r>
            <w:r w:rsidR="00894B4D">
              <w:rPr>
                <w:b/>
                <w:sz w:val="22"/>
                <w:szCs w:val="22"/>
                <w:lang w:val="uk-UA"/>
              </w:rPr>
              <w:t>ні</w:t>
            </w:r>
            <w:r w:rsidR="00600AD4">
              <w:rPr>
                <w:b/>
                <w:sz w:val="22"/>
                <w:szCs w:val="22"/>
                <w:lang w:val="uk-UA"/>
              </w:rPr>
              <w:t xml:space="preserve"> – 50кг, Огірки соло</w:t>
            </w:r>
            <w:bookmarkStart w:id="0" w:name="_GoBack"/>
            <w:bookmarkEnd w:id="0"/>
            <w:r w:rsidR="002558AE">
              <w:rPr>
                <w:b/>
                <w:sz w:val="22"/>
                <w:szCs w:val="22"/>
                <w:lang w:val="uk-UA"/>
              </w:rPr>
              <w:t>ні – 50кг</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263578">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894B4D">
              <w:rPr>
                <w:b/>
                <w:sz w:val="22"/>
                <w:szCs w:val="22"/>
                <w:lang w:val="uk-UA"/>
              </w:rPr>
              <w:t xml:space="preserve">31 грудня </w:t>
            </w:r>
            <w:r w:rsidR="00201108" w:rsidRPr="00B0593B">
              <w:rPr>
                <w:b/>
                <w:sz w:val="22"/>
                <w:szCs w:val="22"/>
                <w:lang w:val="uk-UA"/>
              </w:rPr>
              <w:t>20</w:t>
            </w:r>
            <w:r w:rsidR="00124A73" w:rsidRPr="00B0593B">
              <w:rPr>
                <w:b/>
                <w:sz w:val="22"/>
                <w:szCs w:val="22"/>
                <w:lang w:val="uk-UA"/>
              </w:rPr>
              <w:t>2</w:t>
            </w:r>
            <w:r w:rsidR="00263578">
              <w:rPr>
                <w:b/>
                <w:sz w:val="22"/>
                <w:szCs w:val="22"/>
                <w:lang w:val="uk-UA"/>
              </w:rPr>
              <w:t>4 р</w:t>
            </w:r>
            <w:r w:rsidR="00201108" w:rsidRPr="00B0593B">
              <w:rPr>
                <w:b/>
                <w:sz w:val="22"/>
                <w:szCs w:val="22"/>
                <w:lang w:val="uk-UA"/>
              </w:rPr>
              <w:t>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600AD4"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600AD4"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1D14B2">
              <w:rPr>
                <w:sz w:val="22"/>
                <w:szCs w:val="22"/>
                <w:shd w:val="solid" w:color="FFFFFF" w:fill="FFFFFF"/>
                <w:lang w:eastAsia="en-US"/>
              </w:rPr>
              <w:lastRenderedPageBreak/>
              <w:t>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lastRenderedPageBreak/>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2558AE" w:rsidRPr="002558AE" w:rsidRDefault="002558AE"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2558AE">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r>
              <w:rPr>
                <w:color w:val="000000"/>
                <w:sz w:val="22"/>
                <w:szCs w:val="22"/>
                <w:shd w:val="clear" w:color="auto" w:fill="FFFFFF"/>
                <w:lang w:val="uk-UA"/>
              </w:rPr>
              <w:t>.</w:t>
            </w:r>
          </w:p>
          <w:p w:rsidR="00151D8B" w:rsidRPr="00263578" w:rsidRDefault="00151D8B"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263578">
              <w:rPr>
                <w:color w:val="000000"/>
                <w:sz w:val="22"/>
                <w:szCs w:val="22"/>
                <w:shd w:val="clear" w:color="auto" w:fill="FFFFFF"/>
                <w:lang w:val="uk-UA"/>
              </w:rPr>
              <w:t>Інформацію в довільній формі про те, що учасник процедури закупівлі не є громадянином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громадянин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або пропонує в тендерній пропозиції товари походженням з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xml:space="preserve"> (за винятком товарів, необхідних для ремонту та </w:t>
            </w:r>
            <w:r w:rsidRPr="00263578">
              <w:rPr>
                <w:color w:val="000000"/>
                <w:sz w:val="22"/>
                <w:szCs w:val="22"/>
                <w:shd w:val="clear" w:color="auto" w:fill="FFFFFF"/>
                <w:lang w:val="uk-UA"/>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263578">
              <w:rPr>
                <w:color w:val="000000"/>
                <w:sz w:val="22"/>
                <w:szCs w:val="22"/>
                <w:shd w:val="clear" w:color="auto" w:fill="FFFFFF"/>
                <w:lang w:val="uk-UA"/>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49205F">
              <w:rPr>
                <w:color w:val="000000"/>
                <w:sz w:val="22"/>
                <w:szCs w:val="22"/>
                <w:shd w:val="clear" w:color="auto" w:fill="FFFFFF"/>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w:t>
            </w:r>
            <w:r w:rsidRPr="00914EDF">
              <w:rPr>
                <w:sz w:val="22"/>
                <w:szCs w:val="22"/>
              </w:rPr>
              <w:lastRenderedPageBreak/>
              <w:t>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600AD4"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w:t>
            </w:r>
            <w:r w:rsidRPr="00151D8B">
              <w:rPr>
                <w:b/>
                <w:sz w:val="22"/>
                <w:szCs w:val="22"/>
                <w:lang w:val="uk-UA"/>
              </w:rPr>
              <w:lastRenderedPageBreak/>
              <w:t>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lastRenderedPageBreak/>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lastRenderedPageBreak/>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sidR="00894B4D">
              <w:rPr>
                <w:sz w:val="22"/>
                <w:szCs w:val="22"/>
                <w:lang w:val="uk-UA"/>
              </w:rPr>
              <w:t>4</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1" w:name="n617"/>
            <w:bookmarkEnd w:id="1"/>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2" w:name="n618"/>
            <w:bookmarkEnd w:id="2"/>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3" w:name="n619"/>
            <w:bookmarkEnd w:id="3"/>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4" w:name="n620"/>
            <w:bookmarkEnd w:id="4"/>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1"/>
            <w:bookmarkEnd w:id="5"/>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6" w:name="n622"/>
            <w:bookmarkEnd w:id="6"/>
            <w:r w:rsidRPr="00563D88">
              <w:rPr>
                <w:color w:val="000000"/>
                <w:sz w:val="22"/>
                <w:szCs w:val="22"/>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7" w:name="n623"/>
            <w:bookmarkEnd w:id="7"/>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8" w:name="n624"/>
            <w:bookmarkEnd w:id="8"/>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9" w:name="n625"/>
            <w:bookmarkEnd w:id="9"/>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1D8B" w:rsidRPr="00F34D08" w:rsidRDefault="00151D8B" w:rsidP="00151D8B">
            <w:pPr>
              <w:jc w:val="both"/>
              <w:rPr>
                <w:color w:val="000000"/>
                <w:sz w:val="22"/>
                <w:szCs w:val="22"/>
              </w:rPr>
            </w:pPr>
            <w:bookmarkStart w:id="10" w:name="n626"/>
            <w:bookmarkEnd w:id="10"/>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34D08">
              <w:rPr>
                <w:color w:val="000000"/>
                <w:sz w:val="22"/>
                <w:szCs w:val="22"/>
                <w:lang w:val="uk-UA"/>
              </w:rPr>
              <w:t xml:space="preserve">у </w:t>
            </w:r>
            <w:r w:rsidRPr="00563D88">
              <w:rPr>
                <w:color w:val="000000"/>
                <w:sz w:val="22"/>
                <w:szCs w:val="22"/>
              </w:rPr>
              <w:t>не</w:t>
            </w:r>
            <w:r w:rsidR="00F34D08">
              <w:rPr>
                <w:color w:val="000000"/>
                <w:sz w:val="22"/>
                <w:szCs w:val="22"/>
                <w:lang w:val="uk-UA"/>
              </w:rPr>
              <w:t>ї</w:t>
            </w:r>
            <w:r w:rsidRPr="00563D88">
              <w:rPr>
                <w:color w:val="000000"/>
                <w:sz w:val="22"/>
                <w:szCs w:val="22"/>
              </w:rPr>
              <w:t xml:space="preserve"> публічних закупівель товарів, робіт і послуг згідно із </w:t>
            </w:r>
            <w:hyperlink r:id="rId14" w:tgtFrame="_blank" w:history="1">
              <w:r w:rsidRPr="00563D88">
                <w:rPr>
                  <w:rStyle w:val="a5"/>
                  <w:sz w:val="22"/>
                  <w:szCs w:val="22"/>
                </w:rPr>
                <w:t>Законом України</w:t>
              </w:r>
            </w:hyperlink>
            <w:r w:rsidR="00F34D08">
              <w:rPr>
                <w:color w:val="000000"/>
                <w:sz w:val="22"/>
                <w:szCs w:val="22"/>
              </w:rPr>
              <w:t> “Про санкції”</w:t>
            </w:r>
            <w:r w:rsidR="00F34D08">
              <w:rPr>
                <w:color w:val="000000"/>
                <w:sz w:val="22"/>
                <w:szCs w:val="22"/>
                <w:lang w:val="uk-UA"/>
              </w:rPr>
              <w:t>,</w:t>
            </w:r>
            <w:r w:rsidR="00F34D08" w:rsidRPr="00F34D08">
              <w:rPr>
                <w:color w:val="333333"/>
                <w:lang w:val="uk-UA"/>
              </w:rPr>
              <w:t xml:space="preserve"> </w:t>
            </w:r>
            <w:r w:rsidR="00F34D08" w:rsidRPr="00F34D08">
              <w:rPr>
                <w:color w:val="000000"/>
                <w:sz w:val="22"/>
                <w:szCs w:val="22"/>
                <w:lang w:val="uk-UA"/>
              </w:rPr>
              <w:t>крім випадку, коли активи такої 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1" w:name="n627"/>
            <w:bookmarkEnd w:id="11"/>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CD7C44">
              <w:rPr>
                <w:color w:val="000000"/>
                <w:sz w:val="22"/>
                <w:szCs w:val="22"/>
                <w:shd w:val="solid" w:color="FFFFFF" w:fill="FFFFFF"/>
                <w:lang w:val="uk-UA" w:eastAsia="en-US"/>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 xml:space="preserve">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w:t>
            </w:r>
            <w:r w:rsidRPr="00073A2B">
              <w:rPr>
                <w:sz w:val="22"/>
                <w:szCs w:val="22"/>
                <w:lang w:val="uk-UA"/>
              </w:rPr>
              <w:lastRenderedPageBreak/>
              <w:t>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2558AE" w:rsidRDefault="00151D8B" w:rsidP="00151D8B">
            <w:pPr>
              <w:pStyle w:val="ab"/>
              <w:jc w:val="both"/>
              <w:rPr>
                <w:sz w:val="21"/>
                <w:szCs w:val="21"/>
                <w:lang w:val="uk-UA"/>
              </w:rPr>
            </w:pPr>
            <w:r w:rsidRPr="002558AE">
              <w:rPr>
                <w:sz w:val="21"/>
                <w:szCs w:val="21"/>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51D8B" w:rsidRPr="002558AE" w:rsidRDefault="00151D8B" w:rsidP="00151D8B">
            <w:pPr>
              <w:pStyle w:val="ab"/>
              <w:jc w:val="both"/>
              <w:rPr>
                <w:sz w:val="21"/>
                <w:szCs w:val="21"/>
                <w:lang w:val="uk-UA"/>
              </w:rPr>
            </w:pPr>
            <w:r w:rsidRPr="002558AE">
              <w:rPr>
                <w:sz w:val="21"/>
                <w:szCs w:val="21"/>
                <w:highlight w:val="white"/>
                <w:lang w:val="uk-UA"/>
              </w:rPr>
              <w:t xml:space="preserve"> </w:t>
            </w:r>
            <w:r w:rsidRPr="002558AE">
              <w:rPr>
                <w:sz w:val="21"/>
                <w:szCs w:val="21"/>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2558AE" w:rsidRDefault="00151D8B" w:rsidP="00151D8B">
            <w:pPr>
              <w:pStyle w:val="ab"/>
              <w:jc w:val="both"/>
              <w:rPr>
                <w:sz w:val="21"/>
                <w:szCs w:val="21"/>
              </w:rPr>
            </w:pPr>
            <w:r w:rsidRPr="002558AE">
              <w:rPr>
                <w:sz w:val="21"/>
                <w:szCs w:val="21"/>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2558AE" w:rsidRDefault="00151D8B" w:rsidP="00151D8B">
            <w:pPr>
              <w:pStyle w:val="ab"/>
              <w:jc w:val="both"/>
              <w:rPr>
                <w:sz w:val="21"/>
                <w:szCs w:val="21"/>
              </w:rPr>
            </w:pPr>
            <w:r w:rsidRPr="002558AE">
              <w:rPr>
                <w:sz w:val="21"/>
                <w:szCs w:val="21"/>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600AD4"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2558AE" w:rsidRDefault="00151D8B" w:rsidP="00151D8B">
            <w:pPr>
              <w:jc w:val="both"/>
              <w:rPr>
                <w:b/>
                <w:strike/>
                <w:sz w:val="21"/>
                <w:szCs w:val="21"/>
                <w:lang w:val="uk-UA"/>
              </w:rPr>
            </w:pPr>
            <w:r w:rsidRPr="002558AE">
              <w:rPr>
                <w:b/>
                <w:i/>
                <w:sz w:val="21"/>
                <w:szCs w:val="21"/>
                <w:lang w:val="uk-UA"/>
              </w:rPr>
              <w:t>Кінцевий строк</w:t>
            </w:r>
            <w:r w:rsidRPr="002558AE">
              <w:rPr>
                <w:sz w:val="21"/>
                <w:szCs w:val="21"/>
                <w:lang w:val="uk-UA"/>
              </w:rPr>
              <w:t xml:space="preserve"> подання тендерних пропозицій до </w:t>
            </w:r>
            <w:r w:rsidRPr="002558AE">
              <w:rPr>
                <w:b/>
                <w:sz w:val="21"/>
                <w:szCs w:val="21"/>
                <w:lang w:val="uk-UA"/>
              </w:rPr>
              <w:t>«</w:t>
            </w:r>
            <w:r w:rsidR="002C2D16">
              <w:rPr>
                <w:b/>
                <w:sz w:val="21"/>
                <w:szCs w:val="21"/>
                <w:lang w:val="uk-UA"/>
              </w:rPr>
              <w:t>02</w:t>
            </w:r>
            <w:r w:rsidRPr="002558AE">
              <w:rPr>
                <w:b/>
                <w:sz w:val="21"/>
                <w:szCs w:val="21"/>
                <w:lang w:val="uk-UA"/>
              </w:rPr>
              <w:t xml:space="preserve">» </w:t>
            </w:r>
            <w:r w:rsidR="00CE4715">
              <w:rPr>
                <w:b/>
                <w:sz w:val="21"/>
                <w:szCs w:val="21"/>
                <w:lang w:val="uk-UA"/>
              </w:rPr>
              <w:t xml:space="preserve"> квітня</w:t>
            </w:r>
            <w:r w:rsidR="00DD783F">
              <w:rPr>
                <w:b/>
                <w:sz w:val="21"/>
                <w:szCs w:val="21"/>
                <w:lang w:val="uk-UA"/>
              </w:rPr>
              <w:t xml:space="preserve"> </w:t>
            </w:r>
            <w:r w:rsidR="00263578">
              <w:rPr>
                <w:b/>
                <w:sz w:val="21"/>
                <w:szCs w:val="21"/>
                <w:lang w:val="uk-UA"/>
              </w:rPr>
              <w:t>2024</w:t>
            </w:r>
            <w:r w:rsidRPr="002558AE">
              <w:rPr>
                <w:b/>
                <w:sz w:val="21"/>
                <w:szCs w:val="21"/>
                <w:lang w:val="uk-UA"/>
              </w:rPr>
              <w:t>р.</w:t>
            </w:r>
          </w:p>
          <w:p w:rsidR="00151D8B" w:rsidRPr="002558AE" w:rsidRDefault="00151D8B" w:rsidP="00151D8B">
            <w:pPr>
              <w:jc w:val="both"/>
              <w:rPr>
                <w:sz w:val="21"/>
                <w:szCs w:val="21"/>
                <w:lang w:val="uk-UA"/>
              </w:rPr>
            </w:pPr>
            <w:r w:rsidRPr="002558AE">
              <w:rPr>
                <w:sz w:val="21"/>
                <w:szCs w:val="21"/>
                <w:lang w:val="uk-UA"/>
              </w:rPr>
              <w:t>Отримана тендерна пропозиція автоматично вноситься до реєстру.</w:t>
            </w:r>
          </w:p>
          <w:p w:rsidR="00151D8B" w:rsidRPr="002558AE" w:rsidRDefault="00151D8B" w:rsidP="00151D8B">
            <w:pPr>
              <w:jc w:val="both"/>
              <w:rPr>
                <w:sz w:val="21"/>
                <w:szCs w:val="21"/>
                <w:lang w:val="uk-UA"/>
              </w:rPr>
            </w:pPr>
            <w:r w:rsidRPr="002558AE">
              <w:rPr>
                <w:sz w:val="21"/>
                <w:szCs w:val="21"/>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2558AE">
              <w:rPr>
                <w:rFonts w:eastAsia="Arial"/>
                <w:color w:val="000000"/>
                <w:sz w:val="21"/>
                <w:szCs w:val="21"/>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2558AE" w:rsidRDefault="00151D8B" w:rsidP="00151D8B">
            <w:pPr>
              <w:ind w:left="-63" w:firstLine="63"/>
              <w:jc w:val="both"/>
              <w:rPr>
                <w:sz w:val="21"/>
                <w:szCs w:val="21"/>
                <w:lang w:val="uk-UA"/>
              </w:rPr>
            </w:pPr>
            <w:r w:rsidRPr="002558AE">
              <w:rPr>
                <w:sz w:val="21"/>
                <w:szCs w:val="21"/>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2558AE" w:rsidRDefault="00151D8B" w:rsidP="00151D8B">
            <w:pPr>
              <w:ind w:left="-63"/>
              <w:jc w:val="both"/>
              <w:rPr>
                <w:sz w:val="21"/>
                <w:szCs w:val="21"/>
                <w:lang w:val="uk-UA"/>
              </w:rPr>
            </w:pPr>
            <w:r w:rsidRPr="002558AE">
              <w:rPr>
                <w:sz w:val="21"/>
                <w:szCs w:val="21"/>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2558AE" w:rsidRDefault="00151D8B" w:rsidP="004F6B6B">
            <w:pPr>
              <w:ind w:left="-63" w:firstLine="63"/>
              <w:jc w:val="both"/>
              <w:rPr>
                <w:sz w:val="21"/>
                <w:szCs w:val="21"/>
              </w:rPr>
            </w:pPr>
            <w:r w:rsidRPr="002558AE">
              <w:rPr>
                <w:sz w:val="21"/>
                <w:szCs w:val="21"/>
                <w:lang w:val="uk-UA"/>
              </w:rPr>
              <w:t xml:space="preserve"> </w:t>
            </w:r>
            <w:r w:rsidR="004F6B6B" w:rsidRPr="002558AE">
              <w:rPr>
                <w:sz w:val="21"/>
                <w:szCs w:val="2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2558AE">
                <w:rPr>
                  <w:rStyle w:val="a5"/>
                  <w:sz w:val="21"/>
                  <w:szCs w:val="21"/>
                </w:rPr>
                <w:t>статті 16</w:t>
              </w:r>
            </w:hyperlink>
            <w:r w:rsidR="004F6B6B" w:rsidRPr="002558AE">
              <w:rPr>
                <w:sz w:val="21"/>
                <w:szCs w:val="21"/>
              </w:rPr>
              <w:t> Закону, і документи, що підтверджують відсутність підстав, визначених </w:t>
            </w:r>
            <w:hyperlink r:id="rId16" w:anchor="n615" w:history="1">
              <w:r w:rsidR="004F6B6B" w:rsidRPr="002558AE">
                <w:rPr>
                  <w:rStyle w:val="a5"/>
                  <w:sz w:val="21"/>
                  <w:szCs w:val="21"/>
                </w:rPr>
                <w:t>пунктом 47</w:t>
              </w:r>
            </w:hyperlink>
            <w:r w:rsidR="004F6B6B" w:rsidRPr="002558AE">
              <w:rPr>
                <w:sz w:val="21"/>
                <w:szCs w:val="21"/>
              </w:rPr>
              <w:t> цих особливостей.</w:t>
            </w:r>
          </w:p>
          <w:p w:rsidR="00151D8B" w:rsidRPr="002558AE" w:rsidRDefault="00151D8B" w:rsidP="00151D8B">
            <w:pPr>
              <w:ind w:left="-63" w:firstLine="63"/>
              <w:jc w:val="both"/>
              <w:rPr>
                <w:sz w:val="21"/>
                <w:szCs w:val="21"/>
              </w:rPr>
            </w:pPr>
            <w:r w:rsidRPr="002558AE">
              <w:rPr>
                <w:sz w:val="21"/>
                <w:szCs w:val="2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2558AE" w:rsidRDefault="00151D8B" w:rsidP="00151D8B">
            <w:pPr>
              <w:pStyle w:val="ab"/>
              <w:jc w:val="both"/>
              <w:rPr>
                <w:sz w:val="21"/>
                <w:szCs w:val="21"/>
              </w:rPr>
            </w:pPr>
            <w:r w:rsidRPr="002558AE">
              <w:rPr>
                <w:sz w:val="21"/>
                <w:szCs w:val="2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600AD4"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Перелік критеріїв та методика оцінки </w:t>
            </w:r>
            <w:r w:rsidRPr="003701E0">
              <w:rPr>
                <w:b/>
                <w:sz w:val="21"/>
                <w:szCs w:val="21"/>
                <w:lang w:val="uk-UA"/>
              </w:rPr>
              <w:lastRenderedPageBreak/>
              <w:t>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lastRenderedPageBreak/>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lastRenderedPageBreak/>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3B340F">
              <w:rPr>
                <w:rFonts w:eastAsia="Calibri"/>
                <w:sz w:val="20"/>
                <w:szCs w:val="20"/>
                <w:lang w:eastAsia="en-US"/>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Обґрунтування аномально низької тендерної пропозиції може містити інформацію про:</w:t>
            </w:r>
          </w:p>
          <w:p w:rsidR="00151D8B" w:rsidRPr="002558AE" w:rsidRDefault="00245D30"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val="uk-UA" w:eastAsia="uk-UA"/>
              </w:rPr>
              <w:t xml:space="preserve">    </w:t>
            </w:r>
            <w:r w:rsidR="00304A72" w:rsidRPr="002558AE">
              <w:rPr>
                <w:rFonts w:eastAsia="Arial"/>
                <w:color w:val="000000"/>
                <w:sz w:val="21"/>
                <w:szCs w:val="21"/>
                <w:lang w:val="uk-UA" w:eastAsia="uk-UA"/>
              </w:rPr>
              <w:t>1)</w:t>
            </w: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2558AE" w:rsidRDefault="00245D30"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2558AE" w:rsidRDefault="00245D30"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3)</w:t>
            </w: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отримання учасником державної допомоги згідно із законодавством.</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2558AE">
              <w:rPr>
                <w:rFonts w:eastAsia="Arial"/>
                <w:color w:val="000000"/>
                <w:sz w:val="21"/>
                <w:szCs w:val="21"/>
                <w:lang w:eastAsia="uk-UA"/>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Учасники при поданні тендерної пропозиції повинні враховувати норми:</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2558AE" w:rsidRDefault="00151D8B" w:rsidP="00151D8B">
            <w:pPr>
              <w:widowControl w:val="0"/>
              <w:ind w:left="-75" w:firstLine="75"/>
              <w:contextualSpacing/>
              <w:jc w:val="both"/>
              <w:rPr>
                <w:sz w:val="21"/>
                <w:szCs w:val="21"/>
                <w:lang w:eastAsia="uk-UA"/>
              </w:rPr>
            </w:pPr>
            <w:r w:rsidRPr="002558AE">
              <w:rPr>
                <w:rFonts w:eastAsia="Arial"/>
                <w:color w:val="000000"/>
                <w:sz w:val="21"/>
                <w:szCs w:val="21"/>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2558AE"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58AE" w:rsidRPr="00B0593B" w:rsidRDefault="002558AE" w:rsidP="002558AE">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58AE" w:rsidRPr="00B0593B" w:rsidRDefault="002558AE" w:rsidP="002558AE">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58AE" w:rsidRPr="00DF1298" w:rsidRDefault="002558AE" w:rsidP="002558AE">
            <w:pPr>
              <w:pStyle w:val="ab"/>
              <w:jc w:val="both"/>
              <w:rPr>
                <w:sz w:val="21"/>
                <w:szCs w:val="21"/>
                <w:lang w:val="uk"/>
              </w:rPr>
            </w:pPr>
            <w:r w:rsidRPr="00DF1298">
              <w:rPr>
                <w:sz w:val="21"/>
                <w:szCs w:val="21"/>
                <w:lang w:val="uk"/>
              </w:rPr>
              <w:t>Замовник відхиляє тендерну пропозицію із зазначенням аргументації в електронній системі закупівель у разі, коли:</w:t>
            </w:r>
          </w:p>
          <w:p w:rsidR="002558AE" w:rsidRPr="00DF1298" w:rsidRDefault="002558AE" w:rsidP="002558AE">
            <w:pPr>
              <w:pStyle w:val="ab"/>
              <w:jc w:val="both"/>
              <w:rPr>
                <w:b/>
                <w:sz w:val="21"/>
                <w:szCs w:val="21"/>
                <w:lang w:val="uk"/>
              </w:rPr>
            </w:pPr>
            <w:bookmarkStart w:id="12" w:name="n592"/>
            <w:bookmarkEnd w:id="12"/>
            <w:r w:rsidRPr="00DF1298">
              <w:rPr>
                <w:sz w:val="21"/>
                <w:szCs w:val="21"/>
                <w:lang w:val="uk"/>
              </w:rPr>
              <w:t xml:space="preserve">1) </w:t>
            </w:r>
            <w:r w:rsidRPr="00DF1298">
              <w:rPr>
                <w:b/>
                <w:sz w:val="21"/>
                <w:szCs w:val="21"/>
                <w:lang w:val="uk"/>
              </w:rPr>
              <w:t>учасник процедури закупівлі:</w:t>
            </w:r>
          </w:p>
          <w:p w:rsidR="002558AE" w:rsidRPr="00DF1298" w:rsidRDefault="002558AE" w:rsidP="002558AE">
            <w:pPr>
              <w:pStyle w:val="ab"/>
              <w:jc w:val="both"/>
              <w:rPr>
                <w:sz w:val="21"/>
                <w:szCs w:val="21"/>
                <w:lang w:val="uk"/>
              </w:rPr>
            </w:pPr>
            <w:bookmarkStart w:id="13" w:name="n593"/>
            <w:bookmarkEnd w:id="13"/>
            <w:r w:rsidRPr="00DF1298">
              <w:rPr>
                <w:sz w:val="21"/>
                <w:szCs w:val="21"/>
                <w:lang w:val="uk"/>
              </w:rPr>
              <w:t xml:space="preserve"> -          підпадає під підстави, встановлені </w:t>
            </w:r>
            <w:hyperlink w:anchor="n615" w:history="1">
              <w:r w:rsidRPr="00DF1298">
                <w:rPr>
                  <w:rStyle w:val="a5"/>
                  <w:sz w:val="21"/>
                  <w:szCs w:val="21"/>
                  <w:lang w:val="uk"/>
                </w:rPr>
                <w:t>пунктом 47</w:t>
              </w:r>
            </w:hyperlink>
            <w:r w:rsidRPr="00DF1298">
              <w:rPr>
                <w:sz w:val="21"/>
                <w:szCs w:val="21"/>
                <w:lang w:val="uk"/>
              </w:rPr>
              <w:t xml:space="preserve"> цих особливостей;</w:t>
            </w:r>
          </w:p>
          <w:p w:rsidR="002558AE" w:rsidRPr="00DF1298" w:rsidRDefault="002558AE" w:rsidP="002558AE">
            <w:pPr>
              <w:pStyle w:val="ab"/>
              <w:jc w:val="both"/>
              <w:rPr>
                <w:sz w:val="21"/>
                <w:szCs w:val="21"/>
                <w:lang w:val="uk"/>
              </w:rPr>
            </w:pPr>
            <w:bookmarkStart w:id="14" w:name="n594"/>
            <w:bookmarkEnd w:id="14"/>
            <w:r w:rsidRPr="00DF1298">
              <w:rPr>
                <w:sz w:val="21"/>
                <w:szCs w:val="21"/>
                <w:lang w:val="uk"/>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history="1">
              <w:r w:rsidRPr="00DF1298">
                <w:rPr>
                  <w:rStyle w:val="a5"/>
                  <w:sz w:val="21"/>
                  <w:szCs w:val="21"/>
                  <w:lang w:val="uk"/>
                </w:rPr>
                <w:t>абзацом першим</w:t>
              </w:r>
            </w:hyperlink>
            <w:r w:rsidRPr="00DF1298">
              <w:rPr>
                <w:sz w:val="21"/>
                <w:szCs w:val="21"/>
                <w:lang w:val="uk"/>
              </w:rPr>
              <w:t xml:space="preserve"> пункту 42 цих особливостей;</w:t>
            </w:r>
          </w:p>
          <w:p w:rsidR="002558AE" w:rsidRPr="00DF1298" w:rsidRDefault="002558AE" w:rsidP="002558AE">
            <w:pPr>
              <w:pStyle w:val="ab"/>
              <w:numPr>
                <w:ilvl w:val="0"/>
                <w:numId w:val="8"/>
              </w:numPr>
              <w:ind w:left="0" w:firstLine="360"/>
              <w:jc w:val="both"/>
              <w:rPr>
                <w:sz w:val="21"/>
                <w:szCs w:val="21"/>
                <w:lang w:val="uk"/>
              </w:rPr>
            </w:pPr>
            <w:bookmarkStart w:id="15" w:name="n595"/>
            <w:bookmarkEnd w:id="15"/>
            <w:r w:rsidRPr="00DF1298">
              <w:rPr>
                <w:sz w:val="21"/>
                <w:szCs w:val="21"/>
                <w:lang w:val="uk"/>
              </w:rPr>
              <w:t>не надав забезпечення тендерної пропозиції, якщо таке забезпечення вимагалося замовником;</w:t>
            </w:r>
            <w:bookmarkStart w:id="16" w:name="n596"/>
            <w:bookmarkEnd w:id="16"/>
          </w:p>
          <w:p w:rsidR="002558AE" w:rsidRPr="00DF1298" w:rsidRDefault="002558AE" w:rsidP="002558AE">
            <w:pPr>
              <w:pStyle w:val="ab"/>
              <w:numPr>
                <w:ilvl w:val="0"/>
                <w:numId w:val="8"/>
              </w:numPr>
              <w:ind w:left="30" w:firstLine="330"/>
              <w:jc w:val="both"/>
              <w:rPr>
                <w:sz w:val="21"/>
                <w:szCs w:val="21"/>
                <w:lang w:val="uk"/>
              </w:rPr>
            </w:pPr>
            <w:r w:rsidRPr="00DF1298">
              <w:rPr>
                <w:sz w:val="21"/>
                <w:szCs w:val="21"/>
                <w:lang w:val="uk"/>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17" w:name="n597"/>
            <w:bookmarkEnd w:id="17"/>
          </w:p>
          <w:p w:rsidR="002558AE" w:rsidRPr="00DF1298" w:rsidRDefault="002558AE" w:rsidP="002558AE">
            <w:pPr>
              <w:pStyle w:val="ab"/>
              <w:numPr>
                <w:ilvl w:val="0"/>
                <w:numId w:val="8"/>
              </w:numPr>
              <w:ind w:left="0" w:firstLine="360"/>
              <w:jc w:val="both"/>
              <w:rPr>
                <w:sz w:val="21"/>
                <w:szCs w:val="21"/>
                <w:lang w:val="uk"/>
              </w:rPr>
            </w:pPr>
            <w:r w:rsidRPr="00DF1298">
              <w:rPr>
                <w:sz w:val="21"/>
                <w:szCs w:val="21"/>
                <w:lang w:val="uk"/>
              </w:rPr>
              <w:t xml:space="preserve">не надав обґрунтування аномально низької ціни тендерної пропозиції протягом строку, визначеного </w:t>
            </w:r>
            <w:hyperlink r:id="rId17" w:anchor="n1543" w:tgtFrame="_blank" w:history="1">
              <w:r w:rsidRPr="00DF1298">
                <w:rPr>
                  <w:rStyle w:val="a5"/>
                  <w:sz w:val="21"/>
                  <w:szCs w:val="21"/>
                  <w:lang w:val="uk"/>
                </w:rPr>
                <w:t>абзацом першим</w:t>
              </w:r>
            </w:hyperlink>
            <w:r w:rsidRPr="00DF1298">
              <w:rPr>
                <w:sz w:val="21"/>
                <w:szCs w:val="21"/>
                <w:lang w:val="uk"/>
              </w:rPr>
              <w:t xml:space="preserve"> частини чотирнадцятої статті 29 Закону/</w:t>
            </w:r>
            <w:hyperlink w:anchor="n581" w:history="1">
              <w:r w:rsidRPr="00DF1298">
                <w:rPr>
                  <w:rStyle w:val="a5"/>
                  <w:sz w:val="21"/>
                  <w:szCs w:val="21"/>
                  <w:lang w:val="uk"/>
                </w:rPr>
                <w:t>абзацом дев’ятим</w:t>
              </w:r>
            </w:hyperlink>
            <w:r w:rsidRPr="00DF1298">
              <w:rPr>
                <w:sz w:val="21"/>
                <w:szCs w:val="21"/>
                <w:lang w:val="uk"/>
              </w:rPr>
              <w:t xml:space="preserve"> пункту 37 цих особливостей;</w:t>
            </w:r>
            <w:bookmarkStart w:id="18" w:name="n598"/>
            <w:bookmarkEnd w:id="18"/>
          </w:p>
          <w:p w:rsidR="002558AE" w:rsidRPr="00DF1298" w:rsidRDefault="002558AE" w:rsidP="002558AE">
            <w:pPr>
              <w:pStyle w:val="ab"/>
              <w:numPr>
                <w:ilvl w:val="0"/>
                <w:numId w:val="8"/>
              </w:numPr>
              <w:ind w:left="0" w:firstLine="360"/>
              <w:jc w:val="both"/>
              <w:rPr>
                <w:sz w:val="21"/>
                <w:szCs w:val="21"/>
                <w:lang w:val="uk"/>
              </w:rPr>
            </w:pPr>
            <w:r w:rsidRPr="00DF1298">
              <w:rPr>
                <w:sz w:val="21"/>
                <w:szCs w:val="21"/>
                <w:lang w:val="uk"/>
              </w:rPr>
              <w:t xml:space="preserve">визначив конфіденційною інформацію, що не може бути визначена як конфіденційна відповідно до вимог </w:t>
            </w:r>
            <w:hyperlink w:anchor="n584" w:history="1">
              <w:r w:rsidRPr="00DF1298">
                <w:rPr>
                  <w:rStyle w:val="a5"/>
                  <w:sz w:val="21"/>
                  <w:szCs w:val="21"/>
                  <w:lang w:val="uk"/>
                </w:rPr>
                <w:t>пункту 40</w:t>
              </w:r>
            </w:hyperlink>
            <w:r w:rsidRPr="00DF1298">
              <w:rPr>
                <w:sz w:val="21"/>
                <w:szCs w:val="21"/>
                <w:lang w:val="uk"/>
              </w:rPr>
              <w:t xml:space="preserve"> цих особливостей;</w:t>
            </w:r>
            <w:bookmarkStart w:id="19" w:name="n599"/>
            <w:bookmarkEnd w:id="19"/>
          </w:p>
          <w:p w:rsidR="002558AE" w:rsidRPr="00DF1298" w:rsidRDefault="002558AE" w:rsidP="002558AE">
            <w:pPr>
              <w:pStyle w:val="ab"/>
              <w:numPr>
                <w:ilvl w:val="0"/>
                <w:numId w:val="8"/>
              </w:numPr>
              <w:ind w:left="0" w:firstLine="360"/>
              <w:jc w:val="both"/>
              <w:rPr>
                <w:sz w:val="21"/>
                <w:szCs w:val="21"/>
                <w:lang w:val="uk"/>
              </w:rPr>
            </w:pPr>
            <w:r w:rsidRPr="00DF1298">
              <w:rPr>
                <w:sz w:val="21"/>
                <w:szCs w:val="21"/>
                <w:lang w:val="uk"/>
              </w:rPr>
              <w:t>є громадянином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D783F">
              <w:rPr>
                <w:color w:val="000000"/>
                <w:sz w:val="22"/>
                <w:szCs w:val="22"/>
                <w:shd w:val="clear" w:color="auto" w:fill="FFFFFF"/>
                <w:lang w:val="uk-UA"/>
              </w:rPr>
              <w:t>/Ісламської Республіки Іран</w:t>
            </w:r>
            <w:r w:rsidRPr="00DF1298">
              <w:rPr>
                <w:sz w:val="21"/>
                <w:szCs w:val="21"/>
                <w:lang w:val="uk"/>
              </w:rPr>
              <w:t>, громадянин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DF1298">
              <w:rPr>
                <w:sz w:val="21"/>
                <w:szCs w:val="21"/>
                <w:lang w:val="uk"/>
              </w:rPr>
              <w:lastRenderedPageBreak/>
              <w:t>товари походженням з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58AE" w:rsidRPr="00DF1298" w:rsidRDefault="002558AE" w:rsidP="002558AE">
            <w:pPr>
              <w:pStyle w:val="ab"/>
              <w:jc w:val="both"/>
              <w:rPr>
                <w:sz w:val="21"/>
                <w:szCs w:val="21"/>
                <w:lang w:val="uk"/>
              </w:rPr>
            </w:pPr>
            <w:bookmarkStart w:id="20" w:name="n600"/>
            <w:bookmarkEnd w:id="20"/>
            <w:r w:rsidRPr="00DF1298">
              <w:rPr>
                <w:sz w:val="21"/>
                <w:szCs w:val="21"/>
                <w:lang w:val="uk"/>
              </w:rPr>
              <w:t>2</w:t>
            </w:r>
            <w:r w:rsidRPr="00DF1298">
              <w:rPr>
                <w:b/>
                <w:sz w:val="21"/>
                <w:szCs w:val="21"/>
                <w:lang w:val="uk"/>
              </w:rPr>
              <w:t>) тендерна пропозиція:</w:t>
            </w:r>
          </w:p>
          <w:p w:rsidR="002558AE" w:rsidRPr="00DF1298" w:rsidRDefault="002558AE" w:rsidP="002558AE">
            <w:pPr>
              <w:pStyle w:val="ab"/>
              <w:jc w:val="both"/>
              <w:rPr>
                <w:sz w:val="21"/>
                <w:szCs w:val="21"/>
                <w:lang w:val="uk"/>
              </w:rPr>
            </w:pPr>
            <w:bookmarkStart w:id="21" w:name="n601"/>
            <w:bookmarkEnd w:id="21"/>
            <w:r w:rsidRPr="00DF1298">
              <w:rPr>
                <w:sz w:val="21"/>
                <w:szCs w:val="21"/>
                <w:lang w:val="uk"/>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w:anchor="n588" w:history="1">
              <w:r w:rsidRPr="00DF1298">
                <w:rPr>
                  <w:rStyle w:val="a5"/>
                  <w:sz w:val="21"/>
                  <w:szCs w:val="21"/>
                  <w:lang w:val="uk"/>
                </w:rPr>
                <w:t>пункту 43</w:t>
              </w:r>
            </w:hyperlink>
            <w:r w:rsidRPr="00DF1298">
              <w:rPr>
                <w:sz w:val="21"/>
                <w:szCs w:val="21"/>
                <w:lang w:val="uk"/>
              </w:rPr>
              <w:t xml:space="preserve"> цих особливостей;</w:t>
            </w:r>
          </w:p>
          <w:p w:rsidR="002558AE" w:rsidRPr="00DF1298" w:rsidRDefault="002558AE" w:rsidP="002558AE">
            <w:pPr>
              <w:pStyle w:val="ab"/>
              <w:jc w:val="both"/>
              <w:rPr>
                <w:sz w:val="21"/>
                <w:szCs w:val="21"/>
                <w:lang w:val="uk"/>
              </w:rPr>
            </w:pPr>
            <w:bookmarkStart w:id="22" w:name="n602"/>
            <w:bookmarkEnd w:id="22"/>
            <w:r w:rsidRPr="00DF1298">
              <w:rPr>
                <w:sz w:val="21"/>
                <w:szCs w:val="21"/>
                <w:lang w:val="uk"/>
              </w:rPr>
              <w:t>- є такою, строк дії якої закінчився;</w:t>
            </w:r>
            <w:bookmarkStart w:id="23" w:name="n603"/>
            <w:bookmarkEnd w:id="23"/>
          </w:p>
          <w:p w:rsidR="002558AE" w:rsidRPr="00DF1298" w:rsidRDefault="002558AE" w:rsidP="002558AE">
            <w:pPr>
              <w:pStyle w:val="ab"/>
              <w:jc w:val="both"/>
              <w:rPr>
                <w:sz w:val="21"/>
                <w:szCs w:val="21"/>
                <w:lang w:val="uk"/>
              </w:rPr>
            </w:pPr>
            <w:r w:rsidRPr="00DF1298">
              <w:rPr>
                <w:sz w:val="21"/>
                <w:szCs w:val="21"/>
                <w:lang w:val="uk"/>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8AE" w:rsidRPr="00DF1298" w:rsidRDefault="002558AE" w:rsidP="002558AE">
            <w:pPr>
              <w:pStyle w:val="ab"/>
              <w:jc w:val="both"/>
              <w:rPr>
                <w:sz w:val="21"/>
                <w:szCs w:val="21"/>
                <w:lang w:val="uk"/>
              </w:rPr>
            </w:pPr>
            <w:bookmarkStart w:id="24" w:name="n604"/>
            <w:bookmarkEnd w:id="24"/>
            <w:r w:rsidRPr="00DF1298">
              <w:rPr>
                <w:sz w:val="21"/>
                <w:szCs w:val="21"/>
                <w:lang w:val="uk"/>
              </w:rPr>
              <w:t xml:space="preserve">- не відповідає вимогам, установленим у тендерній документації відповідно до </w:t>
            </w:r>
            <w:hyperlink r:id="rId18" w:anchor="n1422" w:tgtFrame="_blank" w:history="1">
              <w:r w:rsidRPr="00DF1298">
                <w:rPr>
                  <w:rStyle w:val="a5"/>
                  <w:sz w:val="21"/>
                  <w:szCs w:val="21"/>
                  <w:lang w:val="uk"/>
                </w:rPr>
                <w:t>абзацу першого</w:t>
              </w:r>
            </w:hyperlink>
            <w:r w:rsidRPr="00DF1298">
              <w:rPr>
                <w:sz w:val="21"/>
                <w:szCs w:val="21"/>
                <w:lang w:val="uk"/>
              </w:rPr>
              <w:t xml:space="preserve"> частини третьої статті 22 Закону;</w:t>
            </w:r>
          </w:p>
          <w:p w:rsidR="002558AE" w:rsidRPr="00DF1298" w:rsidRDefault="002558AE" w:rsidP="002558AE">
            <w:pPr>
              <w:pStyle w:val="ab"/>
              <w:jc w:val="both"/>
              <w:rPr>
                <w:sz w:val="21"/>
                <w:szCs w:val="21"/>
                <w:lang w:val="uk"/>
              </w:rPr>
            </w:pPr>
            <w:bookmarkStart w:id="25" w:name="n605"/>
            <w:bookmarkEnd w:id="25"/>
            <w:r w:rsidRPr="00DF1298">
              <w:rPr>
                <w:sz w:val="21"/>
                <w:szCs w:val="21"/>
                <w:lang w:val="uk"/>
              </w:rPr>
              <w:t>3</w:t>
            </w:r>
            <w:r w:rsidRPr="00DF1298">
              <w:rPr>
                <w:b/>
                <w:sz w:val="21"/>
                <w:szCs w:val="21"/>
                <w:lang w:val="uk"/>
              </w:rPr>
              <w:t>) переможець процедури закупівлі</w:t>
            </w:r>
            <w:r w:rsidRPr="00DF1298">
              <w:rPr>
                <w:sz w:val="21"/>
                <w:szCs w:val="21"/>
                <w:lang w:val="uk"/>
              </w:rPr>
              <w:t>:</w:t>
            </w:r>
          </w:p>
          <w:p w:rsidR="002558AE" w:rsidRPr="00DF1298" w:rsidRDefault="002558AE" w:rsidP="002558AE">
            <w:pPr>
              <w:pStyle w:val="ab"/>
              <w:jc w:val="both"/>
              <w:rPr>
                <w:sz w:val="21"/>
                <w:szCs w:val="21"/>
                <w:lang w:val="uk"/>
              </w:rPr>
            </w:pPr>
            <w:bookmarkStart w:id="26" w:name="n606"/>
            <w:bookmarkEnd w:id="26"/>
            <w:r w:rsidRPr="00DF1298">
              <w:rPr>
                <w:sz w:val="21"/>
                <w:szCs w:val="21"/>
                <w:lang w:val="uk"/>
              </w:rPr>
              <w:t>-   відмовився від підписання договору про закупівлю відповідно до вимог тендерної документації або укладення договору про закупівлю;</w:t>
            </w:r>
          </w:p>
          <w:p w:rsidR="002558AE" w:rsidRPr="00DF1298" w:rsidRDefault="002558AE" w:rsidP="002558AE">
            <w:pPr>
              <w:pStyle w:val="ab"/>
              <w:jc w:val="both"/>
              <w:rPr>
                <w:sz w:val="21"/>
                <w:szCs w:val="21"/>
                <w:lang w:val="uk"/>
              </w:rPr>
            </w:pPr>
            <w:bookmarkStart w:id="27" w:name="n607"/>
            <w:bookmarkEnd w:id="27"/>
            <w:r w:rsidRPr="00DF1298">
              <w:rPr>
                <w:sz w:val="21"/>
                <w:szCs w:val="21"/>
                <w:lang w:val="uk"/>
              </w:rPr>
              <w:t xml:space="preserve">-  не надав у спосіб, зазначений в тендерній документації, документи, що підтверджують відсутність підстав, визначених у </w:t>
            </w:r>
            <w:hyperlink w:anchor="n618" w:history="1">
              <w:r w:rsidRPr="00DF1298">
                <w:rPr>
                  <w:rStyle w:val="a5"/>
                  <w:sz w:val="21"/>
                  <w:szCs w:val="21"/>
                  <w:lang w:val="uk"/>
                </w:rPr>
                <w:t>підпунктах 3</w:t>
              </w:r>
            </w:hyperlink>
            <w:r w:rsidRPr="00DF1298">
              <w:rPr>
                <w:sz w:val="21"/>
                <w:szCs w:val="21"/>
                <w:lang w:val="uk"/>
              </w:rPr>
              <w:t xml:space="preserve">, </w:t>
            </w:r>
            <w:hyperlink w:anchor="n620" w:history="1">
              <w:r w:rsidRPr="00DF1298">
                <w:rPr>
                  <w:rStyle w:val="a5"/>
                  <w:sz w:val="21"/>
                  <w:szCs w:val="21"/>
                  <w:lang w:val="uk"/>
                </w:rPr>
                <w:t>5</w:t>
              </w:r>
            </w:hyperlink>
            <w:r w:rsidRPr="00DF1298">
              <w:rPr>
                <w:sz w:val="21"/>
                <w:szCs w:val="21"/>
                <w:lang w:val="uk"/>
              </w:rPr>
              <w:t xml:space="preserve">, </w:t>
            </w:r>
            <w:hyperlink w:anchor="n621" w:history="1">
              <w:r w:rsidRPr="00DF1298">
                <w:rPr>
                  <w:rStyle w:val="a5"/>
                  <w:sz w:val="21"/>
                  <w:szCs w:val="21"/>
                  <w:lang w:val="uk"/>
                </w:rPr>
                <w:t>6</w:t>
              </w:r>
            </w:hyperlink>
            <w:r w:rsidRPr="00DF1298">
              <w:rPr>
                <w:sz w:val="21"/>
                <w:szCs w:val="21"/>
                <w:lang w:val="uk"/>
              </w:rPr>
              <w:t xml:space="preserve"> і </w:t>
            </w:r>
            <w:hyperlink w:anchor="n627" w:history="1">
              <w:r w:rsidRPr="00DF1298">
                <w:rPr>
                  <w:rStyle w:val="a5"/>
                  <w:sz w:val="21"/>
                  <w:szCs w:val="21"/>
                  <w:lang w:val="uk"/>
                </w:rPr>
                <w:t>12</w:t>
              </w:r>
            </w:hyperlink>
            <w:r w:rsidRPr="00DF1298">
              <w:rPr>
                <w:sz w:val="21"/>
                <w:szCs w:val="21"/>
                <w:lang w:val="uk"/>
              </w:rPr>
              <w:t xml:space="preserve"> та в </w:t>
            </w:r>
            <w:hyperlink w:anchor="n628" w:history="1">
              <w:r w:rsidRPr="00DF1298">
                <w:rPr>
                  <w:rStyle w:val="a5"/>
                  <w:sz w:val="21"/>
                  <w:szCs w:val="21"/>
                  <w:lang w:val="uk"/>
                </w:rPr>
                <w:t>абзаці чотирнадцятому</w:t>
              </w:r>
            </w:hyperlink>
            <w:r w:rsidRPr="00DF1298">
              <w:rPr>
                <w:sz w:val="21"/>
                <w:szCs w:val="21"/>
                <w:lang w:val="uk"/>
              </w:rPr>
              <w:t xml:space="preserve"> пункту 47 цих особливостей;</w:t>
            </w:r>
          </w:p>
          <w:p w:rsidR="002558AE" w:rsidRPr="00DF1298" w:rsidRDefault="002558AE" w:rsidP="002558AE">
            <w:pPr>
              <w:pStyle w:val="ab"/>
              <w:jc w:val="both"/>
              <w:rPr>
                <w:sz w:val="21"/>
                <w:szCs w:val="21"/>
                <w:lang w:val="uk"/>
              </w:rPr>
            </w:pPr>
            <w:bookmarkStart w:id="28" w:name="n608"/>
            <w:bookmarkEnd w:id="28"/>
            <w:r w:rsidRPr="00DF1298">
              <w:rPr>
                <w:sz w:val="21"/>
                <w:szCs w:val="21"/>
                <w:lang w:val="uk"/>
              </w:rPr>
              <w:t>- не надав забезпечення виконання договору про закупівлю, якщо таке забезпечення вимагалося замовником;</w:t>
            </w:r>
          </w:p>
          <w:p w:rsidR="002558AE" w:rsidRPr="00DF1298" w:rsidRDefault="002558AE" w:rsidP="002558AE">
            <w:pPr>
              <w:pStyle w:val="ab"/>
              <w:jc w:val="both"/>
              <w:rPr>
                <w:sz w:val="21"/>
                <w:szCs w:val="21"/>
                <w:lang w:val="uk"/>
              </w:rPr>
            </w:pPr>
            <w:bookmarkStart w:id="29" w:name="n609"/>
            <w:bookmarkEnd w:id="29"/>
            <w:r w:rsidRPr="00DF1298">
              <w:rPr>
                <w:sz w:val="21"/>
                <w:szCs w:val="21"/>
                <w:lang w:val="uk"/>
              </w:rPr>
              <w:t xml:space="preserve">- надав недостовірну інформацію, що є суттєвою для визначення результатів процедури закупівлі, яку замовником виявлено згідно з </w:t>
            </w:r>
            <w:hyperlink w:anchor="n586" w:history="1">
              <w:r w:rsidRPr="00DF1298">
                <w:rPr>
                  <w:rStyle w:val="a5"/>
                  <w:sz w:val="21"/>
                  <w:szCs w:val="21"/>
                  <w:lang w:val="uk"/>
                </w:rPr>
                <w:t>абзацом першим</w:t>
              </w:r>
            </w:hyperlink>
            <w:r w:rsidRPr="00DF1298">
              <w:rPr>
                <w:sz w:val="21"/>
                <w:szCs w:val="21"/>
                <w:lang w:val="uk"/>
              </w:rPr>
              <w:t xml:space="preserve"> пункту 42 цих особливостей.</w:t>
            </w:r>
          </w:p>
          <w:p w:rsidR="002558AE" w:rsidRPr="00DF1298" w:rsidRDefault="002558AE" w:rsidP="002558AE">
            <w:pPr>
              <w:pStyle w:val="ab"/>
              <w:jc w:val="both"/>
              <w:rPr>
                <w:sz w:val="21"/>
                <w:szCs w:val="21"/>
                <w:lang w:val="uk"/>
              </w:rPr>
            </w:pPr>
            <w:bookmarkStart w:id="30" w:name="n610"/>
            <w:bookmarkEnd w:id="30"/>
            <w:r w:rsidRPr="00DF1298">
              <w:rPr>
                <w:sz w:val="21"/>
                <w:szCs w:val="21"/>
                <w:lang w:val="uk"/>
              </w:rPr>
              <w:t>Замовник може відхилити тендерну пропозицію із зазначенням аргументації в електронній системі закупівель у разі, коли:</w:t>
            </w:r>
          </w:p>
          <w:p w:rsidR="002558AE" w:rsidRPr="00DF1298" w:rsidRDefault="002558AE" w:rsidP="002558AE">
            <w:pPr>
              <w:pStyle w:val="ab"/>
              <w:jc w:val="both"/>
              <w:rPr>
                <w:sz w:val="21"/>
                <w:szCs w:val="21"/>
                <w:lang w:val="uk"/>
              </w:rPr>
            </w:pPr>
            <w:bookmarkStart w:id="31" w:name="n611"/>
            <w:bookmarkEnd w:id="31"/>
            <w:r w:rsidRPr="00DF1298">
              <w:rPr>
                <w:sz w:val="21"/>
                <w:szCs w:val="21"/>
                <w:lang w:val="uk"/>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8AE" w:rsidRPr="00DF1298" w:rsidRDefault="002558AE" w:rsidP="002558AE">
            <w:pPr>
              <w:pStyle w:val="ab"/>
              <w:jc w:val="both"/>
              <w:rPr>
                <w:sz w:val="21"/>
                <w:szCs w:val="21"/>
                <w:lang w:val="uk"/>
              </w:rPr>
            </w:pPr>
            <w:bookmarkStart w:id="32" w:name="n612"/>
            <w:bookmarkEnd w:id="32"/>
            <w:r w:rsidRPr="00DF1298">
              <w:rPr>
                <w:sz w:val="21"/>
                <w:szCs w:val="21"/>
                <w:lang w:val="uk"/>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8AE" w:rsidRPr="00DF1298" w:rsidRDefault="002558AE" w:rsidP="002558AE">
            <w:pPr>
              <w:pStyle w:val="ab"/>
              <w:jc w:val="both"/>
              <w:rPr>
                <w:sz w:val="21"/>
                <w:szCs w:val="21"/>
                <w:lang w:val="uk"/>
              </w:rPr>
            </w:pPr>
            <w:r w:rsidRPr="00DF1298">
              <w:rPr>
                <w:sz w:val="21"/>
                <w:szCs w:val="21"/>
                <w:lang w:val="uk"/>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DF1298">
              <w:rPr>
                <w:sz w:val="21"/>
                <w:szCs w:val="21"/>
                <w:lang w:val="uk"/>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58AE" w:rsidRPr="00F761C1" w:rsidRDefault="002558AE" w:rsidP="002558AE">
            <w:pPr>
              <w:pStyle w:val="ab"/>
              <w:jc w:val="both"/>
              <w:rPr>
                <w:sz w:val="21"/>
                <w:szCs w:val="21"/>
              </w:rPr>
            </w:pPr>
            <w:r w:rsidRPr="00B2214F">
              <w:rPr>
                <w:sz w:val="21"/>
                <w:szCs w:val="21"/>
                <w:lang w:val="uk"/>
              </w:rPr>
              <w:t>У разі відхилення тендерної пропозиції з підстави, визначеної</w:t>
            </w:r>
            <w:r w:rsidRPr="00F761C1">
              <w:rPr>
                <w:sz w:val="21"/>
                <w:szCs w:val="21"/>
              </w:rPr>
              <w:t> </w:t>
            </w:r>
            <w:hyperlink r:id="rId19" w:anchor="n148" w:history="1">
              <w:r w:rsidRPr="00B2214F">
                <w:rPr>
                  <w:rStyle w:val="a5"/>
                  <w:sz w:val="21"/>
                  <w:szCs w:val="21"/>
                  <w:lang w:val="uk"/>
                </w:rPr>
                <w:t>підпунктом 3</w:t>
              </w:r>
            </w:hyperlink>
            <w:r w:rsidRPr="00F761C1">
              <w:rPr>
                <w:sz w:val="21"/>
                <w:szCs w:val="21"/>
              </w:rPr>
              <w:t> </w:t>
            </w:r>
            <w:r w:rsidRPr="00B2214F">
              <w:rPr>
                <w:sz w:val="21"/>
                <w:szCs w:val="21"/>
                <w:lang w:val="uk"/>
              </w:rPr>
              <w:t>пункту 4</w:t>
            </w:r>
            <w:r>
              <w:rPr>
                <w:sz w:val="21"/>
                <w:szCs w:val="21"/>
                <w:lang w:val="uk-UA"/>
              </w:rPr>
              <w:t>4</w:t>
            </w:r>
            <w:r w:rsidRPr="00B2214F">
              <w:rPr>
                <w:sz w:val="21"/>
                <w:szCs w:val="21"/>
                <w:lang w:val="uk"/>
              </w:rPr>
              <w:t xml:space="preserve"> </w:t>
            </w:r>
            <w:r w:rsidRPr="00F761C1">
              <w:rPr>
                <w:sz w:val="21"/>
                <w:szCs w:val="21"/>
                <w:lang w:val="uk-UA"/>
              </w:rPr>
              <w:t>О</w:t>
            </w:r>
            <w:r w:rsidRPr="00B2214F">
              <w:rPr>
                <w:sz w:val="21"/>
                <w:szCs w:val="21"/>
                <w:lang w:val="uk"/>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F761C1">
              <w:rPr>
                <w:sz w:val="21"/>
                <w:szCs w:val="21"/>
              </w:rPr>
              <w:t> </w:t>
            </w:r>
            <w:hyperlink r:id="rId20" w:tgtFrame="_blank" w:history="1">
              <w:r w:rsidRPr="00B2214F">
                <w:rPr>
                  <w:rStyle w:val="a5"/>
                  <w:sz w:val="21"/>
                  <w:szCs w:val="21"/>
                  <w:lang w:val="uk"/>
                </w:rPr>
                <w:t>Закону</w:t>
              </w:r>
            </w:hyperlink>
            <w:r w:rsidRPr="00F761C1">
              <w:rPr>
                <w:sz w:val="21"/>
                <w:szCs w:val="21"/>
              </w:rPr>
              <w:t> </w:t>
            </w:r>
            <w:r w:rsidRPr="00B2214F">
              <w:rPr>
                <w:sz w:val="21"/>
                <w:szCs w:val="21"/>
                <w:lang w:val="uk"/>
              </w:rPr>
              <w:t xml:space="preserve">та </w:t>
            </w:r>
            <w:r w:rsidRPr="00F761C1">
              <w:rPr>
                <w:sz w:val="21"/>
                <w:szCs w:val="21"/>
                <w:lang w:val="uk-UA"/>
              </w:rPr>
              <w:t>О</w:t>
            </w:r>
            <w:r w:rsidRPr="00B2214F">
              <w:rPr>
                <w:sz w:val="21"/>
                <w:szCs w:val="21"/>
                <w:lang w:val="uk"/>
              </w:rPr>
              <w:t xml:space="preserve">собливостей, та </w:t>
            </w:r>
            <w:r w:rsidRPr="00B2214F">
              <w:rPr>
                <w:sz w:val="21"/>
                <w:szCs w:val="21"/>
                <w:lang w:val="uk"/>
              </w:rPr>
              <w:lastRenderedPageBreak/>
              <w:t>приймає рішення про намір укласти договір про закупівлю у порядку та на умовах, визначених</w:t>
            </w:r>
            <w:r w:rsidRPr="00F761C1">
              <w:rPr>
                <w:sz w:val="21"/>
                <w:szCs w:val="21"/>
              </w:rPr>
              <w:t> </w:t>
            </w:r>
            <w:hyperlink r:id="rId21" w:anchor="n1611" w:tgtFrame="_blank" w:history="1">
              <w:r w:rsidRPr="00B2214F">
                <w:rPr>
                  <w:rStyle w:val="a5"/>
                  <w:sz w:val="21"/>
                  <w:szCs w:val="21"/>
                  <w:lang w:val="uk"/>
                </w:rPr>
                <w:t xml:space="preserve">статтею </w:t>
              </w:r>
              <w:r w:rsidRPr="00F761C1">
                <w:rPr>
                  <w:rStyle w:val="a5"/>
                  <w:sz w:val="21"/>
                  <w:szCs w:val="21"/>
                </w:rPr>
                <w:t>33</w:t>
              </w:r>
            </w:hyperlink>
            <w:r w:rsidRPr="00F761C1">
              <w:rPr>
                <w:sz w:val="21"/>
                <w:szCs w:val="21"/>
              </w:rPr>
              <w:t> Закону та цим пунктом.</w:t>
            </w:r>
          </w:p>
          <w:p w:rsidR="002558AE" w:rsidRPr="00F761C1" w:rsidRDefault="002558AE" w:rsidP="002558AE">
            <w:pPr>
              <w:pStyle w:val="ab"/>
              <w:jc w:val="both"/>
              <w:rPr>
                <w:sz w:val="21"/>
                <w:szCs w:val="21"/>
              </w:rPr>
            </w:pPr>
            <w:bookmarkStart w:id="33" w:name="n172"/>
            <w:bookmarkEnd w:id="33"/>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304A7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245D30" w:rsidRDefault="007538F8" w:rsidP="00151D8B">
            <w:pPr>
              <w:pStyle w:val="ab"/>
              <w:jc w:val="both"/>
              <w:rPr>
                <w:sz w:val="21"/>
                <w:szCs w:val="21"/>
                <w:lang w:val="uk-UA"/>
              </w:rPr>
            </w:pPr>
            <w:r>
              <w:rPr>
                <w:sz w:val="21"/>
                <w:szCs w:val="21"/>
                <w:lang w:val="uk-UA" w:eastAsia="en-US"/>
              </w:rPr>
              <w:t xml:space="preserve"> </w:t>
            </w:r>
            <w:r w:rsidR="00151D8B" w:rsidRPr="00245D30">
              <w:rPr>
                <w:sz w:val="21"/>
                <w:szCs w:val="21"/>
                <w:lang w:val="uk-UA" w:eastAsia="en-US"/>
              </w:rPr>
              <w:t>1)</w:t>
            </w:r>
            <w:r w:rsidR="00151D8B" w:rsidRPr="003701E0">
              <w:rPr>
                <w:sz w:val="21"/>
                <w:szCs w:val="21"/>
                <w:lang w:eastAsia="en-US"/>
              </w:rPr>
              <w:t> </w:t>
            </w:r>
            <w:r w:rsidR="00151D8B" w:rsidRPr="00245D30">
              <w:rPr>
                <w:sz w:val="21"/>
                <w:szCs w:val="21"/>
                <w:lang w:val="uk-UA" w:eastAsia="en-US"/>
              </w:rPr>
              <w:t>відсутності подальшої потреби в закупівлі товарів, робіт чи послуг;</w:t>
            </w:r>
            <w:r>
              <w:rPr>
                <w:sz w:val="21"/>
                <w:szCs w:val="21"/>
                <w:lang w:val="uk-UA" w:eastAsia="en-US"/>
              </w:rPr>
              <w:t xml:space="preserve">   </w:t>
            </w:r>
            <w:r w:rsidR="00151D8B" w:rsidRPr="00245D30">
              <w:rPr>
                <w:sz w:val="21"/>
                <w:szCs w:val="21"/>
                <w:lang w:val="uk-UA" w:eastAsia="en-US"/>
              </w:rPr>
              <w:t>2)</w:t>
            </w:r>
            <w:r w:rsidR="00151D8B" w:rsidRPr="003701E0">
              <w:rPr>
                <w:sz w:val="21"/>
                <w:szCs w:val="21"/>
                <w:lang w:eastAsia="en-US"/>
              </w:rPr>
              <w:t> </w:t>
            </w:r>
            <w:r w:rsidR="00151D8B" w:rsidRPr="00245D30">
              <w:rPr>
                <w:sz w:val="21"/>
                <w:szCs w:val="21"/>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34" w:name="n371"/>
            <w:bookmarkEnd w:id="34"/>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35" w:name="n372"/>
            <w:bookmarkEnd w:id="35"/>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151D8B" w:rsidRPr="00B0593B" w:rsidTr="00304A72">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263578" w:rsidRDefault="00263578" w:rsidP="00A87B63">
      <w:pPr>
        <w:pStyle w:val="ab"/>
        <w:jc w:val="right"/>
        <w:rPr>
          <w:b/>
          <w:lang w:val="uk-UA"/>
        </w:rPr>
      </w:pPr>
    </w:p>
    <w:p w:rsidR="00263578" w:rsidRDefault="00263578" w:rsidP="00A87B63">
      <w:pPr>
        <w:pStyle w:val="ab"/>
        <w:jc w:val="right"/>
        <w:rPr>
          <w:b/>
          <w:lang w:val="uk-UA"/>
        </w:rPr>
      </w:pPr>
    </w:p>
    <w:p w:rsidR="00263578" w:rsidRDefault="00263578" w:rsidP="00A87B63">
      <w:pPr>
        <w:pStyle w:val="ab"/>
        <w:jc w:val="right"/>
        <w:rPr>
          <w:b/>
          <w:lang w:val="uk-UA"/>
        </w:rPr>
      </w:pPr>
    </w:p>
    <w:p w:rsidR="00263578" w:rsidRDefault="00263578" w:rsidP="00A87B63">
      <w:pPr>
        <w:pStyle w:val="ab"/>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23359F" w:rsidRPr="0023359F" w:rsidRDefault="003701E0" w:rsidP="0023359F">
      <w:pPr>
        <w:jc w:val="center"/>
        <w:rPr>
          <w:b/>
          <w:bCs/>
        </w:rPr>
      </w:pPr>
      <w:r w:rsidRPr="003701E0">
        <w:t xml:space="preserve">Предмет закупівлі: </w:t>
      </w:r>
      <w:r w:rsidR="0023359F" w:rsidRPr="0023359F">
        <w:rPr>
          <w:b/>
          <w:bCs/>
        </w:rPr>
        <w:t>Оброблені фрукти та овочі,</w:t>
      </w:r>
    </w:p>
    <w:p w:rsidR="003701E0" w:rsidRPr="003701E0" w:rsidRDefault="0023359F" w:rsidP="0023359F">
      <w:pPr>
        <w:jc w:val="center"/>
        <w:rPr>
          <w:b/>
        </w:rPr>
      </w:pPr>
      <w:r w:rsidRPr="0023359F">
        <w:rPr>
          <w:b/>
          <w:bCs/>
        </w:rPr>
        <w:t>Код ДК 021-2015 15330000-0 Оброблені фрукти та овочі</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558AE" w:rsidRDefault="002558AE"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23359F" w:rsidRPr="0023359F" w:rsidRDefault="0023359F" w:rsidP="0023359F">
      <w:pPr>
        <w:jc w:val="center"/>
        <w:rPr>
          <w:rFonts w:eastAsia="Calibri"/>
          <w:b/>
          <w:bCs/>
          <w:lang w:eastAsia="en-US"/>
        </w:rPr>
      </w:pPr>
      <w:r w:rsidRPr="0023359F">
        <w:rPr>
          <w:rFonts w:eastAsia="Calibri"/>
          <w:b/>
          <w:bCs/>
          <w:lang w:eastAsia="en-US"/>
        </w:rPr>
        <w:t>Оброблені фрукти та овочі,</w:t>
      </w:r>
    </w:p>
    <w:p w:rsidR="00952646" w:rsidRPr="00952646" w:rsidRDefault="0023359F" w:rsidP="0023359F">
      <w:pPr>
        <w:jc w:val="center"/>
        <w:rPr>
          <w:rFonts w:eastAsia="Calibri"/>
          <w:b/>
          <w:lang w:eastAsia="en-US"/>
        </w:rPr>
      </w:pPr>
      <w:r w:rsidRPr="0023359F">
        <w:rPr>
          <w:rFonts w:eastAsia="Calibri"/>
          <w:b/>
          <w:bCs/>
          <w:lang w:eastAsia="en-US"/>
        </w:rPr>
        <w:t>Код ДК 021-2015 15330000-0 Оброблені фрукти та овочі</w:t>
      </w:r>
    </w:p>
    <w:tbl>
      <w:tblPr>
        <w:tblW w:w="9773" w:type="dxa"/>
        <w:tblLayout w:type="fixed"/>
        <w:tblCellMar>
          <w:left w:w="30" w:type="dxa"/>
          <w:right w:w="30" w:type="dxa"/>
        </w:tblCellMar>
        <w:tblLook w:val="04A0" w:firstRow="1" w:lastRow="0" w:firstColumn="1" w:lastColumn="0" w:noHBand="0" w:noVBand="1"/>
      </w:tblPr>
      <w:tblGrid>
        <w:gridCol w:w="611"/>
        <w:gridCol w:w="6611"/>
        <w:gridCol w:w="1134"/>
        <w:gridCol w:w="1417"/>
      </w:tblGrid>
      <w:tr w:rsidR="0023359F" w:rsidRPr="00406729" w:rsidTr="0023359F">
        <w:trPr>
          <w:trHeight w:val="20"/>
        </w:trPr>
        <w:tc>
          <w:tcPr>
            <w:tcW w:w="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rPr>
                <w:b/>
                <w:color w:val="000000"/>
              </w:rPr>
            </w:pPr>
            <w:r w:rsidRPr="00406729">
              <w:rPr>
                <w:b/>
                <w:color w:val="000000"/>
              </w:rPr>
              <w:t>№ п/п</w:t>
            </w:r>
          </w:p>
        </w:tc>
        <w:tc>
          <w:tcPr>
            <w:tcW w:w="6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ind w:firstLine="5"/>
              <w:jc w:val="center"/>
              <w:rPr>
                <w:b/>
                <w:color w:val="000000"/>
              </w:rPr>
            </w:pPr>
            <w:r w:rsidRPr="00406729">
              <w:rPr>
                <w:b/>
                <w:color w:val="000000"/>
              </w:rPr>
              <w:t>Кількість</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DD783F" w:rsidP="0023359F">
            <w:pPr>
              <w:pStyle w:val="ab"/>
              <w:jc w:val="both"/>
              <w:rPr>
                <w:rFonts w:cs="Calibri"/>
                <w:b/>
                <w:sz w:val="22"/>
                <w:szCs w:val="22"/>
                <w:lang w:val="uk-UA"/>
              </w:rPr>
            </w:pPr>
            <w:r>
              <w:rPr>
                <w:rFonts w:cs="Calibri"/>
                <w:b/>
                <w:sz w:val="22"/>
                <w:szCs w:val="22"/>
                <w:lang w:val="uk-UA"/>
              </w:rPr>
              <w:t>Суміш сухофруктів зі сливами</w:t>
            </w:r>
          </w:p>
          <w:p w:rsidR="0023359F" w:rsidRPr="006B11E4" w:rsidRDefault="0023359F" w:rsidP="0023359F">
            <w:pPr>
              <w:pStyle w:val="ab"/>
              <w:jc w:val="both"/>
              <w:rPr>
                <w:sz w:val="22"/>
                <w:szCs w:val="22"/>
              </w:rPr>
            </w:pPr>
            <w:r w:rsidRPr="006B11E4">
              <w:rPr>
                <w:sz w:val="22"/>
                <w:szCs w:val="22"/>
              </w:rPr>
              <w:t>Продукція має бути виготовлена з дотриманням діючих стандартів:</w:t>
            </w:r>
            <w:r w:rsidRPr="006B11E4">
              <w:rPr>
                <w:sz w:val="22"/>
                <w:szCs w:val="22"/>
                <w:lang w:val="uk-UA"/>
              </w:rPr>
              <w:t xml:space="preserve"> </w:t>
            </w:r>
            <w:r w:rsidRPr="006B11E4">
              <w:rPr>
                <w:sz w:val="22"/>
                <w:szCs w:val="22"/>
              </w:rPr>
              <w:t xml:space="preserve">ГОСТ, ДСТУ, ТУ. Фрукти сушені повинна бути сухі, без зайвих домішок, без цвілі та ушкоджень шкідниками, не допускається пліснява. Запах і смак приємні, властиві даному виду фруктів, без стороннього присмаку або запаху (диму, затхлості, кислого запаху), продукція виготовлена з урожаю </w:t>
            </w:r>
            <w:r w:rsidR="00263578">
              <w:rPr>
                <w:sz w:val="22"/>
                <w:szCs w:val="22"/>
                <w:lang w:val="uk-UA"/>
              </w:rPr>
              <w:t>2023</w:t>
            </w:r>
            <w:r w:rsidRPr="006B11E4">
              <w:rPr>
                <w:sz w:val="22"/>
                <w:szCs w:val="22"/>
              </w:rPr>
              <w:t xml:space="preserve"> року а в 3-4 кварталі  – з урожаю </w:t>
            </w:r>
            <w:r w:rsidR="00263578">
              <w:rPr>
                <w:sz w:val="22"/>
                <w:szCs w:val="22"/>
                <w:lang w:val="uk-UA"/>
              </w:rPr>
              <w:t>2024</w:t>
            </w:r>
            <w:r w:rsidRPr="006B11E4">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200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DD783F" w:rsidP="0023359F">
            <w:pPr>
              <w:jc w:val="both"/>
              <w:rPr>
                <w:b/>
                <w:sz w:val="22"/>
                <w:szCs w:val="22"/>
              </w:rPr>
            </w:pPr>
            <w:r>
              <w:rPr>
                <w:b/>
                <w:sz w:val="22"/>
                <w:szCs w:val="22"/>
              </w:rPr>
              <w:t>Паста томатна</w:t>
            </w:r>
          </w:p>
          <w:p w:rsidR="0023359F" w:rsidRPr="006B11E4" w:rsidRDefault="0023359F" w:rsidP="0023359F">
            <w:pPr>
              <w:jc w:val="both"/>
              <w:rPr>
                <w:sz w:val="22"/>
                <w:szCs w:val="22"/>
              </w:rPr>
            </w:pPr>
            <w:r w:rsidRPr="006B11E4">
              <w:rPr>
                <w:sz w:val="22"/>
                <w:szCs w:val="22"/>
              </w:rPr>
              <w:t xml:space="preserve">скло або бляшанка, не </w:t>
            </w:r>
            <w:r>
              <w:rPr>
                <w:sz w:val="22"/>
                <w:szCs w:val="22"/>
                <w:lang w:val="uk-UA"/>
              </w:rPr>
              <w:t>менше</w:t>
            </w:r>
            <w:r>
              <w:rPr>
                <w:sz w:val="22"/>
                <w:szCs w:val="22"/>
              </w:rPr>
              <w:t xml:space="preserve"> 0,500 г, згідно ДСТУ 5081:2008</w:t>
            </w:r>
            <w:r w:rsidRPr="006B11E4">
              <w:rPr>
                <w:sz w:val="22"/>
                <w:szCs w:val="22"/>
              </w:rPr>
              <w:t xml:space="preserve">, з відповідним маркування </w:t>
            </w:r>
            <w:r>
              <w:rPr>
                <w:sz w:val="22"/>
                <w:szCs w:val="22"/>
                <w:lang w:val="uk-UA"/>
              </w:rPr>
              <w:t xml:space="preserve">на </w:t>
            </w:r>
            <w:r w:rsidRPr="006B11E4">
              <w:rPr>
                <w:sz w:val="22"/>
                <w:szCs w:val="22"/>
              </w:rPr>
              <w:t>упаковці. Вищого або першого сорту. Масова частка розчинних сухих речовин повинна бути не</w:t>
            </w:r>
            <w:r w:rsidRPr="006B11E4">
              <w:rPr>
                <w:sz w:val="22"/>
                <w:szCs w:val="22"/>
                <w:lang w:val="uk-UA"/>
              </w:rPr>
              <w:t xml:space="preserve"> </w:t>
            </w:r>
            <w:r w:rsidRPr="006B11E4">
              <w:rPr>
                <w:sz w:val="22"/>
                <w:szCs w:val="22"/>
              </w:rPr>
              <w:t xml:space="preserve">менше 25%, червоного кольору. Має відповідати ДСТУ 5081:2008. </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1232C0" w:rsidRDefault="00A764D9" w:rsidP="0023359F">
            <w:pPr>
              <w:jc w:val="center"/>
              <w:rPr>
                <w:sz w:val="22"/>
                <w:szCs w:val="22"/>
                <w:lang w:val="uk-UA"/>
              </w:rPr>
            </w:pPr>
            <w:r>
              <w:rPr>
                <w:sz w:val="22"/>
                <w:szCs w:val="22"/>
                <w:lang w:val="uk-UA"/>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400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Капуста квашена</w:t>
            </w:r>
          </w:p>
          <w:p w:rsidR="0023359F" w:rsidRPr="006B11E4" w:rsidRDefault="0023359F" w:rsidP="0023359F">
            <w:pPr>
              <w:jc w:val="both"/>
              <w:rPr>
                <w:b/>
                <w:sz w:val="22"/>
                <w:szCs w:val="22"/>
              </w:rPr>
            </w:pPr>
            <w:r w:rsidRPr="006B11E4">
              <w:rPr>
                <w:sz w:val="22"/>
                <w:szCs w:val="22"/>
              </w:rPr>
              <w:t>фасування: відра пластикові не більше 1</w:t>
            </w:r>
            <w:r>
              <w:rPr>
                <w:sz w:val="22"/>
                <w:szCs w:val="22"/>
              </w:rPr>
              <w:t>0 кг, з відповідним маркуванням</w:t>
            </w:r>
            <w:r w:rsidRPr="006B11E4">
              <w:rPr>
                <w:sz w:val="22"/>
                <w:szCs w:val="22"/>
              </w:rPr>
              <w:t xml:space="preserve"> згідно ГОСТ, ДСТУ, ТУ, про</w:t>
            </w:r>
            <w:r w:rsidR="00263578">
              <w:rPr>
                <w:sz w:val="22"/>
                <w:szCs w:val="22"/>
              </w:rPr>
              <w:t>дукція виготовлена з урожаю 2023</w:t>
            </w:r>
            <w:r w:rsidRPr="006B11E4">
              <w:rPr>
                <w:sz w:val="22"/>
                <w:szCs w:val="22"/>
              </w:rPr>
              <w:t xml:space="preserve"> року,</w:t>
            </w:r>
            <w:r w:rsidR="00263578">
              <w:rPr>
                <w:sz w:val="22"/>
                <w:szCs w:val="22"/>
              </w:rPr>
              <w:t xml:space="preserve"> в 3-4 кварталі  – з урожаю 2024</w:t>
            </w:r>
            <w:r w:rsidRPr="006B11E4">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50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Чорнослив без кісток</w:t>
            </w:r>
          </w:p>
          <w:p w:rsidR="0023359F" w:rsidRPr="006B11E4" w:rsidRDefault="0023359F" w:rsidP="0023359F">
            <w:pPr>
              <w:jc w:val="both"/>
              <w:rPr>
                <w:sz w:val="22"/>
                <w:szCs w:val="22"/>
              </w:rPr>
            </w:pPr>
            <w:r w:rsidRPr="006B11E4">
              <w:rPr>
                <w:sz w:val="22"/>
                <w:szCs w:val="22"/>
              </w:rPr>
              <w:t>Зовнішній вигляд: половинки плодів правильної круглої чи овальної форми злегка завернутими краям, одного виду, з непошкодженою шкіркою, яка не злипається при натисканні, без кісточок. Смак і запах:</w:t>
            </w:r>
            <w:r w:rsidRPr="006B11E4">
              <w:rPr>
                <w:sz w:val="22"/>
                <w:szCs w:val="22"/>
                <w:lang w:val="uk-UA"/>
              </w:rPr>
              <w:t xml:space="preserve"> </w:t>
            </w:r>
            <w:r w:rsidRPr="006B11E4">
              <w:rPr>
                <w:sz w:val="22"/>
                <w:szCs w:val="22"/>
              </w:rPr>
              <w:t>властивий фруктам даного виду. Сторонній присмак та запах не допускається. Колір: однорідний, чорний з синім відтінком,</w:t>
            </w:r>
            <w:r w:rsidRPr="006B11E4">
              <w:rPr>
                <w:sz w:val="22"/>
                <w:szCs w:val="22"/>
                <w:lang w:val="uk-UA"/>
              </w:rPr>
              <w:t xml:space="preserve"> </w:t>
            </w:r>
            <w:r w:rsidRPr="006B11E4">
              <w:rPr>
                <w:sz w:val="22"/>
                <w:szCs w:val="22"/>
              </w:rPr>
              <w:t>глянцевий. Допускається коричневий відтінок. Якість товару повинна відповідати діючим на території України ГОСТ, ДСТУ, ТУ.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50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Горошок заморожений</w:t>
            </w:r>
          </w:p>
          <w:p w:rsidR="0023359F" w:rsidRPr="006B11E4" w:rsidRDefault="0023359F" w:rsidP="0023359F">
            <w:pPr>
              <w:jc w:val="both"/>
              <w:rPr>
                <w:sz w:val="22"/>
                <w:szCs w:val="22"/>
              </w:rPr>
            </w:pPr>
            <w:r w:rsidRPr="006B11E4">
              <w:rPr>
                <w:sz w:val="22"/>
                <w:szCs w:val="22"/>
              </w:rPr>
              <w:t>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Фасований або ваговий, поставляється у споживчій тарі.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200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Заморожені ягоди вишні</w:t>
            </w:r>
          </w:p>
          <w:p w:rsidR="0023359F" w:rsidRPr="006B11E4" w:rsidRDefault="0023359F" w:rsidP="0023359F">
            <w:pPr>
              <w:jc w:val="both"/>
              <w:rPr>
                <w:b/>
                <w:sz w:val="22"/>
                <w:szCs w:val="22"/>
              </w:rPr>
            </w:pPr>
            <w:r w:rsidRPr="006B11E4">
              <w:rPr>
                <w:sz w:val="22"/>
                <w:szCs w:val="22"/>
              </w:rPr>
              <w:t>Вишня б/кісточки, заморожена. Має бути цілою,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виготовлення, термін придатності, умови зберігання, дані про виробника. Без ГМО</w:t>
            </w:r>
            <w:r w:rsidRPr="006B11E4">
              <w:rPr>
                <w:b/>
                <w:sz w:val="22"/>
                <w:szCs w:val="22"/>
              </w:rPr>
              <w:t>.</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200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C16077"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DD783F" w:rsidP="0023359F">
            <w:pPr>
              <w:jc w:val="both"/>
              <w:rPr>
                <w:b/>
                <w:sz w:val="22"/>
                <w:szCs w:val="22"/>
              </w:rPr>
            </w:pPr>
            <w:r>
              <w:rPr>
                <w:b/>
                <w:sz w:val="22"/>
                <w:szCs w:val="22"/>
              </w:rPr>
              <w:t xml:space="preserve">Суміш </w:t>
            </w:r>
            <w:r>
              <w:rPr>
                <w:b/>
                <w:sz w:val="22"/>
                <w:szCs w:val="22"/>
                <w:lang w:val="uk-UA"/>
              </w:rPr>
              <w:t xml:space="preserve">фруктова </w:t>
            </w:r>
            <w:r>
              <w:rPr>
                <w:b/>
                <w:sz w:val="22"/>
                <w:szCs w:val="22"/>
              </w:rPr>
              <w:t>заморожена</w:t>
            </w:r>
          </w:p>
          <w:p w:rsidR="0023359F" w:rsidRPr="006B11E4" w:rsidRDefault="0023359F" w:rsidP="0023359F">
            <w:pPr>
              <w:jc w:val="both"/>
              <w:rPr>
                <w:sz w:val="22"/>
                <w:szCs w:val="22"/>
              </w:rPr>
            </w:pPr>
            <w:r w:rsidRPr="006B11E4">
              <w:rPr>
                <w:sz w:val="22"/>
                <w:szCs w:val="22"/>
              </w:rPr>
              <w:t xml:space="preserve">Мають бути цілими,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w:t>
            </w:r>
            <w:r w:rsidRPr="006B11E4">
              <w:rPr>
                <w:sz w:val="22"/>
                <w:szCs w:val="22"/>
              </w:rPr>
              <w:lastRenderedPageBreak/>
              <w:t>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lastRenderedPageBreak/>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7074CF" w:rsidRDefault="00DD783F" w:rsidP="0023359F">
            <w:pPr>
              <w:jc w:val="center"/>
              <w:rPr>
                <w:lang w:val="uk-UA"/>
              </w:rPr>
            </w:pPr>
            <w:r>
              <w:rPr>
                <w:lang w:val="uk-UA"/>
              </w:rPr>
              <w:t>1</w:t>
            </w:r>
            <w:r w:rsidR="00A764D9">
              <w:rPr>
                <w:lang w:val="uk-UA"/>
              </w:rPr>
              <w:t>00</w:t>
            </w:r>
          </w:p>
        </w:tc>
      </w:tr>
      <w:tr w:rsidR="00A764D9"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A764D9" w:rsidRPr="00C16077" w:rsidRDefault="00A764D9"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A764D9" w:rsidRDefault="00A764D9" w:rsidP="00A764D9">
            <w:pPr>
              <w:jc w:val="both"/>
              <w:rPr>
                <w:rFonts w:ascii="Times New Roman CYR" w:hAnsi="Times New Roman CYR" w:cs="Times New Roman CYR"/>
                <w:sz w:val="22"/>
                <w:szCs w:val="22"/>
                <w:lang w:val="uk-UA"/>
              </w:rPr>
            </w:pPr>
            <w:r w:rsidRPr="00A764D9">
              <w:rPr>
                <w:rFonts w:ascii="Times New Roman CYR" w:hAnsi="Times New Roman CYR" w:cs="Times New Roman CYR"/>
                <w:b/>
                <w:sz w:val="22"/>
                <w:szCs w:val="22"/>
                <w:lang w:val="uk-UA"/>
              </w:rPr>
              <w:t>Огірки солоні</w:t>
            </w:r>
            <w:r w:rsidRPr="00A764D9">
              <w:rPr>
                <w:rFonts w:ascii="Times New Roman CYR" w:hAnsi="Times New Roman CYR" w:cs="Times New Roman CYR"/>
                <w:sz w:val="22"/>
                <w:szCs w:val="22"/>
                <w:lang w:val="uk-UA"/>
              </w:rPr>
              <w:t>.</w:t>
            </w:r>
          </w:p>
          <w:p w:rsidR="00A764D9" w:rsidRPr="00A764D9" w:rsidRDefault="00A764D9" w:rsidP="00A764D9">
            <w:pPr>
              <w:jc w:val="both"/>
              <w:rPr>
                <w:b/>
                <w:sz w:val="22"/>
                <w:szCs w:val="22"/>
              </w:rPr>
            </w:pPr>
            <w:r w:rsidRPr="00A764D9">
              <w:rPr>
                <w:rFonts w:ascii="Times New Roman CYR" w:hAnsi="Times New Roman CYR" w:cs="Times New Roman CYR"/>
                <w:sz w:val="22"/>
                <w:szCs w:val="22"/>
                <w:lang w:val="uk-UA"/>
              </w:rPr>
              <w:t xml:space="preserve"> Доброякісні солені огірки мають приємний солоновато-кислий смак, присмак доданих прянощів, без стороннього запаху, мають бути не м'яті, та не зморщені, без механічних пошкоджень, довжиною не більше </w:t>
            </w:r>
            <w:smartTag w:uri="urn:schemas-microsoft-com:office:smarttags" w:element="metricconverter">
              <w:smartTagPr>
                <w:attr w:name="ProductID" w:val="14 см"/>
              </w:smartTagPr>
              <w:r w:rsidRPr="00A764D9">
                <w:rPr>
                  <w:rFonts w:ascii="Times New Roman CYR" w:hAnsi="Times New Roman CYR" w:cs="Times New Roman CYR"/>
                  <w:sz w:val="22"/>
                  <w:szCs w:val="22"/>
                  <w:lang w:val="uk-UA"/>
                </w:rPr>
                <w:t>14 см</w:t>
              </w:r>
            </w:smartTag>
            <w:r w:rsidRPr="00A764D9">
              <w:rPr>
                <w:rFonts w:ascii="Times New Roman CYR" w:hAnsi="Times New Roman CYR" w:cs="Times New Roman CYR"/>
                <w:sz w:val="22"/>
                <w:szCs w:val="22"/>
                <w:lang w:val="uk-UA"/>
              </w:rPr>
              <w:t>, на дотик міцні, хрусткі на зубах. Фасування – відро/банка.</w:t>
            </w:r>
            <w:r w:rsidRPr="00A764D9">
              <w:rPr>
                <w:rFonts w:ascii="Times New Roman CYR" w:hAnsi="Times New Roman CYR" w:cs="Times New Roman CYR"/>
                <w:sz w:val="22"/>
                <w:szCs w:val="22"/>
              </w:rPr>
              <w:t> </w:t>
            </w:r>
            <w:r w:rsidRPr="00A764D9">
              <w:rPr>
                <w:rFonts w:ascii="Times New Roman CYR" w:hAnsi="Times New Roman CYR" w:cs="Times New Roman CYR"/>
                <w:sz w:val="22"/>
                <w:szCs w:val="22"/>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A764D9" w:rsidRPr="00A764D9" w:rsidRDefault="00A764D9" w:rsidP="0023359F">
            <w:pPr>
              <w:jc w:val="center"/>
              <w:rPr>
                <w:sz w:val="22"/>
                <w:szCs w:val="22"/>
                <w:lang w:val="uk-UA"/>
              </w:rPr>
            </w:pPr>
            <w:r>
              <w:rPr>
                <w:sz w:val="22"/>
                <w:szCs w:val="22"/>
                <w:lang w:val="uk-UA"/>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A764D9" w:rsidRDefault="00A764D9" w:rsidP="0023359F">
            <w:pPr>
              <w:jc w:val="center"/>
              <w:rPr>
                <w:lang w:val="uk-UA"/>
              </w:rPr>
            </w:pPr>
            <w:r>
              <w:rPr>
                <w:lang w:val="uk-UA"/>
              </w:rPr>
              <w:t>50</w:t>
            </w:r>
          </w:p>
        </w:tc>
      </w:tr>
      <w:tr w:rsidR="00A764D9"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A764D9" w:rsidRPr="00C16077" w:rsidRDefault="00A764D9"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A764D9" w:rsidRPr="00A764D9" w:rsidRDefault="00A764D9" w:rsidP="00A764D9">
            <w:pPr>
              <w:jc w:val="both"/>
              <w:rPr>
                <w:b/>
                <w:sz w:val="22"/>
                <w:szCs w:val="22"/>
              </w:rPr>
            </w:pPr>
            <w:r w:rsidRPr="00A764D9">
              <w:rPr>
                <w:b/>
                <w:sz w:val="22"/>
                <w:szCs w:val="22"/>
              </w:rPr>
              <w:t>Помідори (томати) солоні</w:t>
            </w:r>
          </w:p>
          <w:p w:rsidR="00A764D9" w:rsidRPr="00A764D9" w:rsidRDefault="00A764D9" w:rsidP="00A764D9">
            <w:pPr>
              <w:jc w:val="both"/>
              <w:rPr>
                <w:sz w:val="22"/>
                <w:szCs w:val="22"/>
              </w:rPr>
            </w:pPr>
            <w:r w:rsidRPr="00A764D9">
              <w:rPr>
                <w:sz w:val="22"/>
                <w:szCs w:val="22"/>
              </w:rPr>
              <w:t>(фасування: відра пластикові не більше 10 кг, з відповідним маркуванням) згідно ГОСТ, ДСТУ, ТУ, про</w:t>
            </w:r>
            <w:r w:rsidR="00263578">
              <w:rPr>
                <w:sz w:val="22"/>
                <w:szCs w:val="22"/>
              </w:rPr>
              <w:t>дукція виготовлена з урожаю 2023</w:t>
            </w:r>
            <w:r w:rsidRPr="00A764D9">
              <w:rPr>
                <w:sz w:val="22"/>
                <w:szCs w:val="22"/>
              </w:rPr>
              <w:t xml:space="preserve"> року,</w:t>
            </w:r>
            <w:r w:rsidR="00263578">
              <w:rPr>
                <w:sz w:val="22"/>
                <w:szCs w:val="22"/>
              </w:rPr>
              <w:t xml:space="preserve"> в 3-4 кварталі  – з урожаю 2024</w:t>
            </w:r>
            <w:r w:rsidRPr="00A764D9">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tcPr>
          <w:p w:rsidR="00A764D9" w:rsidRPr="00C84D8E" w:rsidRDefault="00C84D8E" w:rsidP="0023359F">
            <w:pPr>
              <w:jc w:val="center"/>
              <w:rPr>
                <w:sz w:val="22"/>
                <w:szCs w:val="22"/>
                <w:lang w:val="uk-UA"/>
              </w:rPr>
            </w:pPr>
            <w:r>
              <w:rPr>
                <w:sz w:val="22"/>
                <w:szCs w:val="22"/>
                <w:lang w:val="uk-UA"/>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A764D9" w:rsidRDefault="00C84D8E" w:rsidP="0023359F">
            <w:pPr>
              <w:jc w:val="center"/>
              <w:rPr>
                <w:lang w:val="uk-UA"/>
              </w:rPr>
            </w:pPr>
            <w:r>
              <w:rPr>
                <w:lang w:val="uk-UA"/>
              </w:rPr>
              <w:t>50</w:t>
            </w:r>
          </w:p>
        </w:tc>
      </w:tr>
    </w:tbl>
    <w:p w:rsidR="008D4FA9" w:rsidRDefault="008D4FA9" w:rsidP="008D4FA9">
      <w:pPr>
        <w:jc w:val="center"/>
        <w:rPr>
          <w:b/>
          <w:bCs/>
          <w:lang w:val="uk-UA"/>
        </w:rPr>
      </w:pPr>
    </w:p>
    <w:p w:rsidR="008D4FA9" w:rsidRPr="008D4FA9" w:rsidRDefault="003F6028" w:rsidP="008D4FA9">
      <w:pPr>
        <w:pStyle w:val="ab"/>
        <w:jc w:val="both"/>
        <w:rPr>
          <w:lang w:val="uk-UA"/>
        </w:rPr>
      </w:pPr>
      <w:r>
        <w:rPr>
          <w:lang w:val="uk-UA"/>
        </w:rPr>
        <w:t>1</w:t>
      </w:r>
      <w:r w:rsidR="008D4FA9">
        <w:rPr>
          <w:lang w:val="uk-UA"/>
        </w:rPr>
        <w:t xml:space="preserve">. </w:t>
      </w:r>
      <w:r w:rsidR="008D4FA9" w:rsidRPr="0023359F">
        <w:rPr>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8D4FA9" w:rsidRPr="008D4FA9">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008D4FA9" w:rsidRPr="008D4FA9">
        <w:rPr>
          <w:lang w:val="uk-UA"/>
        </w:rPr>
        <w:t>.</w:t>
      </w:r>
    </w:p>
    <w:p w:rsidR="008D4FA9" w:rsidRDefault="00841030" w:rsidP="008D4FA9">
      <w:pPr>
        <w:spacing w:line="276" w:lineRule="auto"/>
        <w:jc w:val="both"/>
        <w:rPr>
          <w:lang w:val="uk-UA"/>
        </w:rPr>
      </w:pPr>
      <w:r>
        <w:rPr>
          <w:lang w:val="uk-UA"/>
        </w:rPr>
        <w:t xml:space="preserve">2. </w:t>
      </w:r>
      <w:r w:rsidR="003F6028">
        <w:rPr>
          <w:lang w:val="uk-UA"/>
        </w:rPr>
        <w:t xml:space="preserve"> </w:t>
      </w:r>
      <w:r w:rsidR="008D4FA9" w:rsidRPr="008D4FA9">
        <w:rPr>
          <w:lang w:val="uk-UA"/>
        </w:rPr>
        <w:t>Товар повинен транспортуватися у спеціалізованому транспорті з холодильним обладнанням з відповідною температурою згідно зі стандартами.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841030">
        <w:rPr>
          <w:lang w:val="uk-UA"/>
        </w:rPr>
        <w:t>4</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D4FA9" w:rsidP="003701E0">
      <w:pPr>
        <w:jc w:val="both"/>
        <w:rPr>
          <w:lang w:val="uk-UA"/>
        </w:rPr>
      </w:pPr>
      <w:r>
        <w:rPr>
          <w:lang w:val="uk-UA"/>
        </w:rPr>
        <w:t>5</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D4FA9" w:rsidP="003701E0">
      <w:pPr>
        <w:jc w:val="both"/>
        <w:rPr>
          <w:b/>
          <w:color w:val="000000"/>
          <w:kern w:val="3"/>
          <w:lang w:val="uk-UA"/>
        </w:rPr>
      </w:pPr>
      <w:r>
        <w:rPr>
          <w:lang w:val="uk-UA"/>
        </w:rPr>
        <w:t>6</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w:t>
      </w:r>
      <w:r w:rsidR="00263578">
        <w:rPr>
          <w:lang w:val="uk-UA"/>
        </w:rPr>
        <w:t>022 року) виданий не раніше 2023</w:t>
      </w:r>
      <w:r w:rsidRPr="004F0405">
        <w:rPr>
          <w:lang w:val="uk-UA"/>
        </w:rPr>
        <w:t xml:space="preserve">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Pr="008D4FA9" w:rsidRDefault="008D4FA9" w:rsidP="008D4FA9">
      <w:pPr>
        <w:numPr>
          <w:ilvl w:val="0"/>
          <w:numId w:val="4"/>
        </w:numPr>
        <w:jc w:val="both"/>
        <w:rPr>
          <w:lang w:val="uk-UA"/>
        </w:rPr>
      </w:pPr>
      <w:r w:rsidRPr="008D4FA9">
        <w:rPr>
          <w:lang w:val="uk-UA"/>
        </w:rPr>
        <w:t xml:space="preserve">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w:t>
      </w:r>
      <w:r w:rsidRPr="008D4FA9">
        <w:rPr>
          <w:lang w:val="uk-UA"/>
        </w:rPr>
        <w:lastRenderedPageBreak/>
        <w:t>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8D4FA9" w:rsidRDefault="003701E0" w:rsidP="003701E0">
      <w:pPr>
        <w:jc w:val="both"/>
        <w:rPr>
          <w:lang w:val="uk-UA"/>
        </w:rPr>
      </w:pPr>
    </w:p>
    <w:p w:rsidR="00952646" w:rsidRDefault="00952646" w:rsidP="00952646">
      <w:pPr>
        <w:jc w:val="both"/>
        <w:rPr>
          <w:i/>
          <w:lang w:val="uk-UA" w:eastAsia="uk-UA"/>
        </w:rPr>
      </w:pPr>
      <w:r w:rsidRPr="00952646">
        <w:rPr>
          <w:bCs/>
          <w:i/>
          <w:lang w:val="uk-UA" w:eastAsia="uk-UA"/>
        </w:rPr>
        <w:t xml:space="preserve">   </w:t>
      </w:r>
      <w:r w:rsidRPr="00952646">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952646" w:rsidRDefault="00952646" w:rsidP="00952646">
      <w:pPr>
        <w:jc w:val="both"/>
        <w:rPr>
          <w:i/>
          <w:lang w:val="uk-UA" w:eastAsia="uk-UA"/>
        </w:rPr>
      </w:pPr>
    </w:p>
    <w:p w:rsidR="00952646" w:rsidRDefault="00952646" w:rsidP="00952646">
      <w:pPr>
        <w:jc w:val="both"/>
        <w:rPr>
          <w:i/>
          <w:lang w:val="uk-UA" w:eastAsia="uk-UA"/>
        </w:rPr>
      </w:pPr>
    </w:p>
    <w:p w:rsidR="00952646" w:rsidRDefault="00952646" w:rsidP="00952646">
      <w:pPr>
        <w:jc w:val="both"/>
        <w:rPr>
          <w:i/>
          <w:lang w:val="uk-UA" w:eastAsia="uk-UA"/>
        </w:rPr>
      </w:pPr>
    </w:p>
    <w:p w:rsidR="00952646" w:rsidRDefault="00952646"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Pr="00952646" w:rsidRDefault="00DD783F" w:rsidP="00952646">
      <w:pPr>
        <w:jc w:val="both"/>
        <w:rPr>
          <w:i/>
          <w:lang w:val="uk-UA" w:eastAsia="uk-UA"/>
        </w:rPr>
      </w:pPr>
    </w:p>
    <w:p w:rsidR="00763721" w:rsidRPr="00763721" w:rsidRDefault="00763721" w:rsidP="00763721">
      <w:pPr>
        <w:jc w:val="right"/>
        <w:rPr>
          <w:b/>
          <w:lang w:val="uk-UA" w:eastAsia="uk-UA"/>
        </w:rPr>
      </w:pPr>
      <w:r w:rsidRPr="00763721">
        <w:rPr>
          <w:b/>
          <w:lang w:val="uk-UA" w:eastAsia="uk-UA"/>
        </w:rPr>
        <w:lastRenderedPageBreak/>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8D4FA9" w:rsidRDefault="008D4FA9" w:rsidP="00763721">
      <w:pPr>
        <w:jc w:val="right"/>
        <w:rPr>
          <w:lang w:val="uk-UA" w:eastAsia="uk-UA"/>
        </w:rPr>
      </w:pPr>
    </w:p>
    <w:p w:rsidR="008D4FA9" w:rsidRDefault="008D4FA9" w:rsidP="003701E0">
      <w:pPr>
        <w:jc w:val="both"/>
        <w:rPr>
          <w:lang w:val="uk-UA" w:eastAsia="uk-UA"/>
        </w:rPr>
      </w:pP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832"/>
      </w:tblGrid>
      <w:tr w:rsidR="00DD783F" w:rsidRPr="003701E0" w:rsidTr="002536CF">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DD783F" w:rsidRPr="0087122C" w:rsidTr="002536CF">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w:t>
            </w:r>
            <w:proofErr w:type="gramStart"/>
            <w:r w:rsidRPr="00C01795">
              <w:t>обл. ,</w:t>
            </w:r>
            <w:proofErr w:type="gramEnd"/>
            <w:r w:rsidRPr="00C01795">
              <w:t xml:space="preserve"> </w:t>
            </w:r>
            <w:r w:rsidRPr="00C01795">
              <w:rPr>
                <w:lang w:val="uk-UA"/>
              </w:rPr>
              <w:t>Подільський</w:t>
            </w:r>
            <w:r w:rsidRPr="00C01795">
              <w:t xml:space="preserve"> район, с. Ставрове</w:t>
            </w:r>
            <w:r>
              <w:rPr>
                <w:lang w:val="uk-UA"/>
              </w:rPr>
              <w:t xml:space="preserve"> вул. Шевченка, 27</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Default="00DD783F" w:rsidP="002536CF">
            <w:pPr>
              <w:pStyle w:val="ab"/>
            </w:pPr>
          </w:p>
          <w:p w:rsidR="00DD783F" w:rsidRPr="00C01795" w:rsidRDefault="00DD783F" w:rsidP="002536CF">
            <w:pPr>
              <w:pStyle w:val="ab"/>
              <w:rPr>
                <w:lang w:val="uk-UA"/>
              </w:rPr>
            </w:pPr>
            <w:r>
              <w:rPr>
                <w:lang w:val="uk-UA"/>
              </w:rPr>
              <w:t>2</w:t>
            </w:r>
          </w:p>
        </w:tc>
        <w:tc>
          <w:tcPr>
            <w:tcW w:w="5098" w:type="dxa"/>
          </w:tcPr>
          <w:p w:rsidR="00DD783F" w:rsidRPr="00980B67" w:rsidRDefault="00DD783F" w:rsidP="002536CF">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Одеська обл., смт.Окни, вул..</w:t>
            </w:r>
            <w:r>
              <w:rPr>
                <w:lang w:val="uk-UA"/>
              </w:rPr>
              <w:t>Незалежності</w:t>
            </w:r>
            <w:r w:rsidRPr="00C01795">
              <w:t>, 21</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3</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4</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5</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DD783F" w:rsidRPr="00C01795" w:rsidTr="002536C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DD783F" w:rsidRPr="00C01795" w:rsidTr="002536CF">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bl>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263578" w:rsidRDefault="00263578" w:rsidP="003701E0">
      <w:pPr>
        <w:jc w:val="both"/>
        <w:rPr>
          <w:lang w:val="uk-UA" w:eastAsia="uk-UA"/>
        </w:rPr>
      </w:pPr>
    </w:p>
    <w:p w:rsidR="008D4FA9" w:rsidRDefault="008D4FA9"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DD783F">
        <w:rPr>
          <w:lang w:val="uk-UA"/>
        </w:rPr>
        <w:t>4</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23359F">
      <w:pPr>
        <w:jc w:val="both"/>
        <w:rPr>
          <w:lang w:val="uk-UA"/>
        </w:rPr>
      </w:pPr>
      <w:r w:rsidRPr="003701E0">
        <w:rPr>
          <w:lang w:val="uk-UA"/>
        </w:rPr>
        <w:t>1.2. Найменування товару</w:t>
      </w:r>
      <w:r w:rsidR="008D4FA9" w:rsidRPr="008D4FA9">
        <w:rPr>
          <w:b/>
          <w:bCs/>
          <w:lang w:val="uk-UA"/>
        </w:rPr>
        <w:t xml:space="preserve"> </w:t>
      </w:r>
      <w:r w:rsidR="0023359F" w:rsidRPr="0023359F">
        <w:rPr>
          <w:b/>
          <w:bCs/>
          <w:lang w:val="uk-UA"/>
        </w:rPr>
        <w:t>Оброблені фрукти та овочі, Код ДК 021-2015 15330000-0 Оброблені фрукти та овочі</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DD783F">
        <w:rPr>
          <w:lang w:val="uk-UA"/>
        </w:rPr>
        <w:t>4</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DD783F">
        <w:rPr>
          <w:b/>
          <w:lang w:val="uk-UA"/>
        </w:rPr>
        <w:t>31</w:t>
      </w:r>
      <w:r w:rsidR="000C13FD">
        <w:rPr>
          <w:b/>
          <w:lang w:val="uk-UA"/>
        </w:rPr>
        <w:t xml:space="preserve"> </w:t>
      </w:r>
      <w:r w:rsidR="008D4FA9">
        <w:rPr>
          <w:b/>
          <w:lang w:val="uk-UA"/>
        </w:rPr>
        <w:t>грудня</w:t>
      </w:r>
      <w:r w:rsidRPr="003701E0">
        <w:rPr>
          <w:b/>
          <w:lang w:val="uk-UA"/>
        </w:rPr>
        <w:t xml:space="preserve"> 202</w:t>
      </w:r>
      <w:r w:rsidR="00DD783F">
        <w:rPr>
          <w:b/>
          <w:lang w:val="uk-UA"/>
        </w:rPr>
        <w:t>4</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C84D8E" w:rsidRDefault="00C84D8E" w:rsidP="003701E0">
      <w:pPr>
        <w:jc w:val="center"/>
        <w:rPr>
          <w:b/>
          <w:lang w:val="uk-UA"/>
        </w:rPr>
      </w:pPr>
    </w:p>
    <w:p w:rsidR="003701E0" w:rsidRPr="003701E0" w:rsidRDefault="003701E0" w:rsidP="003701E0">
      <w:pPr>
        <w:jc w:val="center"/>
        <w:rPr>
          <w:b/>
          <w:lang w:val="uk-UA"/>
        </w:rPr>
      </w:pPr>
      <w:r w:rsidRPr="003701E0">
        <w:rPr>
          <w:b/>
          <w:lang w:val="uk-UA"/>
        </w:rPr>
        <w:lastRenderedPageBreak/>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DD783F">
        <w:rPr>
          <w:lang w:val="uk-UA"/>
        </w:rPr>
        <w:t>31.12.2024</w:t>
      </w:r>
      <w:r w:rsidR="008D4FA9">
        <w:rPr>
          <w:lang w:val="uk-UA"/>
        </w:rPr>
        <w:t>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lastRenderedPageBreak/>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smartTag w:uri="urn:schemas-microsoft-com:office:smarttags" w:element="metricconverter">
              <w:smartTagPr>
                <w:attr w:name="ProductID" w:val="1 кг"/>
              </w:smartTagPr>
              <w:r w:rsidRPr="003701E0">
                <w:rPr>
                  <w:bCs/>
                  <w:lang w:val="uk-UA"/>
                </w:rPr>
                <w:t>1 кг</w:t>
              </w:r>
            </w:smartTag>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763721" w:rsidRPr="003701E0" w:rsidRDefault="00763721" w:rsidP="00763721">
      <w:pPr>
        <w:jc w:val="right"/>
        <w:rPr>
          <w:lang w:val="uk-UA"/>
        </w:rPr>
      </w:pPr>
      <w:r w:rsidRPr="003701E0">
        <w:rPr>
          <w:lang w:val="uk-UA"/>
        </w:rPr>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832"/>
      </w:tblGrid>
      <w:tr w:rsidR="00DD783F" w:rsidRPr="003701E0" w:rsidTr="002536CF">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DD783F" w:rsidRPr="0087122C" w:rsidTr="002536CF">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w:t>
            </w:r>
            <w:proofErr w:type="gramStart"/>
            <w:r w:rsidRPr="00C01795">
              <w:t>обл. ,</w:t>
            </w:r>
            <w:proofErr w:type="gramEnd"/>
            <w:r w:rsidRPr="00C01795">
              <w:t xml:space="preserve"> </w:t>
            </w:r>
            <w:r w:rsidRPr="00C01795">
              <w:rPr>
                <w:lang w:val="uk-UA"/>
              </w:rPr>
              <w:t>Подільський</w:t>
            </w:r>
            <w:r w:rsidRPr="00C01795">
              <w:t xml:space="preserve"> район, с. Ставрове</w:t>
            </w:r>
            <w:r>
              <w:rPr>
                <w:lang w:val="uk-UA"/>
              </w:rPr>
              <w:t xml:space="preserve"> вул. Шевченка, 27</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Default="00DD783F" w:rsidP="002536CF">
            <w:pPr>
              <w:pStyle w:val="ab"/>
            </w:pPr>
          </w:p>
          <w:p w:rsidR="00DD783F" w:rsidRPr="00C01795" w:rsidRDefault="00DD783F" w:rsidP="002536CF">
            <w:pPr>
              <w:pStyle w:val="ab"/>
              <w:rPr>
                <w:lang w:val="uk-UA"/>
              </w:rPr>
            </w:pPr>
            <w:r>
              <w:rPr>
                <w:lang w:val="uk-UA"/>
              </w:rPr>
              <w:t>2</w:t>
            </w:r>
          </w:p>
        </w:tc>
        <w:tc>
          <w:tcPr>
            <w:tcW w:w="5098" w:type="dxa"/>
          </w:tcPr>
          <w:p w:rsidR="00DD783F" w:rsidRPr="00980B67" w:rsidRDefault="00DD783F" w:rsidP="002536CF">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Одеська обл., смт.Окни, вул..</w:t>
            </w:r>
            <w:r>
              <w:rPr>
                <w:lang w:val="uk-UA"/>
              </w:rPr>
              <w:t>Незалежності</w:t>
            </w:r>
            <w:r w:rsidRPr="00C01795">
              <w:t>, 21</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3</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4</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5</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DD783F" w:rsidRPr="00C01795" w:rsidTr="002536C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DD783F" w:rsidRPr="00C01795" w:rsidTr="002536CF">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lastRenderedPageBreak/>
              <w:t>11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bl>
    <w:p w:rsidR="00DD783F" w:rsidRPr="005C12D2" w:rsidRDefault="00DD783F" w:rsidP="00DD7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rPr>
          <w:rFonts w:ascii="Times New Roman CYR" w:hAnsi="Times New Roman CYR" w:cs="Times New Roman CYR"/>
          <w:b/>
          <w:color w:val="000000"/>
          <w:lang w:val="uk-UA"/>
        </w:rPr>
      </w:pPr>
    </w:p>
    <w:tbl>
      <w:tblPr>
        <w:tblW w:w="9781" w:type="dxa"/>
        <w:tblLayout w:type="fixed"/>
        <w:tblCellMar>
          <w:left w:w="40" w:type="dxa"/>
          <w:right w:w="40" w:type="dxa"/>
        </w:tblCellMar>
        <w:tblLook w:val="0000" w:firstRow="0" w:lastRow="0" w:firstColumn="0" w:lastColumn="0" w:noHBand="0" w:noVBand="0"/>
      </w:tblPr>
      <w:tblGrid>
        <w:gridCol w:w="5200"/>
        <w:gridCol w:w="4581"/>
      </w:tblGrid>
      <w:tr w:rsidR="00763721" w:rsidRPr="003701E0" w:rsidTr="00763721">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763721" w:rsidP="00763721">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763721" w:rsidP="00763721">
            <w:pPr>
              <w:jc w:val="both"/>
              <w:rPr>
                <w:lang w:val="uk-UA" w:eastAsia="en-US"/>
              </w:rPr>
            </w:pPr>
            <w:r w:rsidRPr="003701E0">
              <w:rPr>
                <w:lang w:val="uk-UA" w:eastAsia="en-US"/>
              </w:rPr>
              <w:t>Начальник ____________М.В. 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5"/>
      <w:footerReference w:type="default" r:id="rId26"/>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75" w:rsidRDefault="00172675">
      <w:r>
        <w:separator/>
      </w:r>
    </w:p>
  </w:endnote>
  <w:endnote w:type="continuationSeparator" w:id="0">
    <w:p w:rsidR="00172675" w:rsidRDefault="0017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4D" w:rsidRDefault="00894B4D"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94B4D" w:rsidRDefault="00894B4D"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4D" w:rsidRDefault="00894B4D"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00AD4">
      <w:rPr>
        <w:rStyle w:val="aa"/>
        <w:noProof/>
      </w:rPr>
      <w:t>5</w:t>
    </w:r>
    <w:r>
      <w:rPr>
        <w:rStyle w:val="aa"/>
      </w:rPr>
      <w:fldChar w:fldCharType="end"/>
    </w:r>
  </w:p>
  <w:p w:rsidR="00894B4D" w:rsidRDefault="00894B4D"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75" w:rsidRDefault="00172675">
      <w:r>
        <w:separator/>
      </w:r>
    </w:p>
  </w:footnote>
  <w:footnote w:type="continuationSeparator" w:id="0">
    <w:p w:rsidR="00172675" w:rsidRDefault="001726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675"/>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359F"/>
    <w:rsid w:val="0023664C"/>
    <w:rsid w:val="00237518"/>
    <w:rsid w:val="0023796E"/>
    <w:rsid w:val="00237C6C"/>
    <w:rsid w:val="002409E7"/>
    <w:rsid w:val="00242C5E"/>
    <w:rsid w:val="002433E4"/>
    <w:rsid w:val="002445F8"/>
    <w:rsid w:val="00245BC8"/>
    <w:rsid w:val="00245D30"/>
    <w:rsid w:val="00246BDF"/>
    <w:rsid w:val="00253308"/>
    <w:rsid w:val="002553FD"/>
    <w:rsid w:val="002558AE"/>
    <w:rsid w:val="00255C24"/>
    <w:rsid w:val="00255FF5"/>
    <w:rsid w:val="00257243"/>
    <w:rsid w:val="00257A46"/>
    <w:rsid w:val="00257DBB"/>
    <w:rsid w:val="00257F71"/>
    <w:rsid w:val="002620FC"/>
    <w:rsid w:val="00263578"/>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2D16"/>
    <w:rsid w:val="002C4DE6"/>
    <w:rsid w:val="002C5E91"/>
    <w:rsid w:val="002C6B6E"/>
    <w:rsid w:val="002D0426"/>
    <w:rsid w:val="002D0A6B"/>
    <w:rsid w:val="002D20A0"/>
    <w:rsid w:val="002D67BB"/>
    <w:rsid w:val="002D7E27"/>
    <w:rsid w:val="002F0EDC"/>
    <w:rsid w:val="002F2A25"/>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8E9"/>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0C3A"/>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3CAD"/>
    <w:rsid w:val="00555DAE"/>
    <w:rsid w:val="00557EEB"/>
    <w:rsid w:val="0056253D"/>
    <w:rsid w:val="00562D93"/>
    <w:rsid w:val="0056357F"/>
    <w:rsid w:val="00565664"/>
    <w:rsid w:val="005719F3"/>
    <w:rsid w:val="00575D3E"/>
    <w:rsid w:val="00575DE4"/>
    <w:rsid w:val="00576C7E"/>
    <w:rsid w:val="00577DE9"/>
    <w:rsid w:val="00583F23"/>
    <w:rsid w:val="00585512"/>
    <w:rsid w:val="005921E1"/>
    <w:rsid w:val="005949AA"/>
    <w:rsid w:val="0059688C"/>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AD4"/>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380"/>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870D5"/>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363B"/>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4B4D"/>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9F0585"/>
    <w:rsid w:val="00A00D90"/>
    <w:rsid w:val="00A01F75"/>
    <w:rsid w:val="00A04F8A"/>
    <w:rsid w:val="00A05EA9"/>
    <w:rsid w:val="00A07B94"/>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64D9"/>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C6AEE"/>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28BA"/>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A61"/>
    <w:rsid w:val="00C54953"/>
    <w:rsid w:val="00C570D2"/>
    <w:rsid w:val="00C72654"/>
    <w:rsid w:val="00C750C6"/>
    <w:rsid w:val="00C77A1E"/>
    <w:rsid w:val="00C81141"/>
    <w:rsid w:val="00C83E24"/>
    <w:rsid w:val="00C84D8E"/>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4715"/>
    <w:rsid w:val="00CE6829"/>
    <w:rsid w:val="00CE6D6A"/>
    <w:rsid w:val="00CF0776"/>
    <w:rsid w:val="00CF0AF6"/>
    <w:rsid w:val="00CF1A16"/>
    <w:rsid w:val="00CF1BD2"/>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7CE"/>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D783F"/>
    <w:rsid w:val="00DE37B3"/>
    <w:rsid w:val="00DE5507"/>
    <w:rsid w:val="00DE5A30"/>
    <w:rsid w:val="00DE7038"/>
    <w:rsid w:val="00DF0462"/>
    <w:rsid w:val="00DF37F2"/>
    <w:rsid w:val="00DF38F3"/>
    <w:rsid w:val="00DF5E0C"/>
    <w:rsid w:val="00DF737B"/>
    <w:rsid w:val="00E01693"/>
    <w:rsid w:val="00E0254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3FA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4D08"/>
    <w:rsid w:val="00F363AD"/>
    <w:rsid w:val="00F36A58"/>
    <w:rsid w:val="00F370E9"/>
    <w:rsid w:val="00F408EB"/>
    <w:rsid w:val="00F4112E"/>
    <w:rsid w:val="00F47550"/>
    <w:rsid w:val="00F50F10"/>
    <w:rsid w:val="00F51CD9"/>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41604B"/>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A720-9EC5-4259-9F54-3CC45C93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12806</Words>
  <Characters>72999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85634</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16</cp:revision>
  <cp:lastPrinted>2024-03-25T11:17:00Z</cp:lastPrinted>
  <dcterms:created xsi:type="dcterms:W3CDTF">2023-09-08T06:43:00Z</dcterms:created>
  <dcterms:modified xsi:type="dcterms:W3CDTF">2024-03-25T18:27:00Z</dcterms:modified>
</cp:coreProperties>
</file>