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71" w:rsidRPr="006C0799" w:rsidRDefault="007B1771" w:rsidP="00376692">
      <w:pPr>
        <w:spacing w:after="0" w:line="240" w:lineRule="auto"/>
        <w:jc w:val="right"/>
        <w:rPr>
          <w:rFonts w:ascii="Times New Roman" w:hAnsi="Times New Roman"/>
          <w:b/>
          <w:i/>
          <w:sz w:val="24"/>
          <w:szCs w:val="24"/>
        </w:rPr>
      </w:pPr>
      <w:r w:rsidRPr="006C0799">
        <w:rPr>
          <w:rFonts w:ascii="Times New Roman" w:hAnsi="Times New Roman"/>
          <w:b/>
          <w:i/>
          <w:sz w:val="24"/>
          <w:szCs w:val="24"/>
        </w:rPr>
        <w:t>Додаток 1</w:t>
      </w:r>
    </w:p>
    <w:p w:rsidR="007B1771" w:rsidRPr="006C0799" w:rsidRDefault="007B1771" w:rsidP="00376692">
      <w:pPr>
        <w:spacing w:after="0" w:line="240" w:lineRule="auto"/>
        <w:jc w:val="right"/>
        <w:rPr>
          <w:rFonts w:ascii="Times New Roman" w:hAnsi="Times New Roman"/>
          <w:b/>
          <w:i/>
          <w:sz w:val="24"/>
          <w:szCs w:val="24"/>
        </w:rPr>
      </w:pPr>
      <w:r w:rsidRPr="006C0799">
        <w:rPr>
          <w:rFonts w:ascii="Times New Roman" w:hAnsi="Times New Roman"/>
          <w:b/>
          <w:i/>
          <w:sz w:val="24"/>
          <w:szCs w:val="24"/>
        </w:rPr>
        <w:t>до тендерної документації</w:t>
      </w:r>
    </w:p>
    <w:p w:rsidR="007B1771" w:rsidRDefault="007B1771" w:rsidP="00376692">
      <w:pPr>
        <w:spacing w:after="0" w:line="240" w:lineRule="auto"/>
        <w:jc w:val="center"/>
        <w:rPr>
          <w:rFonts w:ascii="Times New Roman" w:hAnsi="Times New Roman"/>
          <w:sz w:val="20"/>
          <w:szCs w:val="20"/>
        </w:rPr>
      </w:pPr>
    </w:p>
    <w:p w:rsidR="007B1771" w:rsidRDefault="007B1771" w:rsidP="00376692">
      <w:pPr>
        <w:spacing w:after="0" w:line="240" w:lineRule="auto"/>
        <w:jc w:val="center"/>
        <w:rPr>
          <w:rFonts w:ascii="Times New Roman" w:hAnsi="Times New Roman"/>
          <w:b/>
        </w:rPr>
      </w:pPr>
      <w:r w:rsidRPr="00717C7E">
        <w:rPr>
          <w:rFonts w:ascii="Times New Roman" w:hAnsi="Times New Roman"/>
          <w:sz w:val="20"/>
          <w:szCs w:val="20"/>
        </w:rPr>
        <w:t>Форма «ЦІНА ТЕНДЕРНОЇ ПРОПОЗИЦІЇ»</w:t>
      </w:r>
      <w:r w:rsidRPr="00227D1D">
        <w:rPr>
          <w:rFonts w:ascii="Times New Roman" w:hAnsi="Times New Roman"/>
          <w:sz w:val="20"/>
          <w:szCs w:val="20"/>
        </w:rPr>
        <w:t xml:space="preserve"> оформлюється та подається за встановленою замовником формою. Учасник не повинен відступати від даної форми.</w:t>
      </w:r>
    </w:p>
    <w:p w:rsidR="007B1771" w:rsidRDefault="007B1771" w:rsidP="00376692">
      <w:pPr>
        <w:spacing w:after="0" w:line="240" w:lineRule="auto"/>
        <w:jc w:val="center"/>
        <w:rPr>
          <w:rFonts w:ascii="Times New Roman" w:hAnsi="Times New Roman"/>
          <w:b/>
          <w:sz w:val="24"/>
          <w:szCs w:val="24"/>
        </w:rPr>
      </w:pPr>
    </w:p>
    <w:p w:rsidR="007B1771" w:rsidRDefault="007B1771" w:rsidP="00376692">
      <w:pPr>
        <w:spacing w:after="0" w:line="240" w:lineRule="auto"/>
        <w:jc w:val="center"/>
        <w:rPr>
          <w:rFonts w:ascii="Times New Roman" w:hAnsi="Times New Roman"/>
          <w:b/>
          <w:sz w:val="24"/>
          <w:szCs w:val="24"/>
        </w:rPr>
      </w:pPr>
    </w:p>
    <w:p w:rsidR="007B1771" w:rsidRPr="00CC6F86" w:rsidRDefault="007B1771" w:rsidP="00376692">
      <w:pPr>
        <w:spacing w:after="0" w:line="240" w:lineRule="auto"/>
        <w:jc w:val="center"/>
        <w:rPr>
          <w:rFonts w:ascii="Times New Roman" w:hAnsi="Times New Roman"/>
          <w:b/>
          <w:sz w:val="24"/>
          <w:szCs w:val="24"/>
        </w:rPr>
      </w:pPr>
      <w:r w:rsidRPr="00CC6F86">
        <w:rPr>
          <w:rFonts w:ascii="Times New Roman" w:hAnsi="Times New Roman"/>
          <w:b/>
          <w:sz w:val="24"/>
          <w:szCs w:val="24"/>
        </w:rPr>
        <w:t>Форма «ЦІНА ТЕНДЕРНОЇ ПРОПОЗИЦІЇ»</w:t>
      </w:r>
      <w:r w:rsidRPr="00C47852">
        <w:rPr>
          <w:rFonts w:ascii="Times New Roman" w:hAnsi="Times New Roman"/>
          <w:i/>
          <w:sz w:val="20"/>
          <w:szCs w:val="20"/>
        </w:rPr>
        <w:t xml:space="preserve"> *</w:t>
      </w:r>
    </w:p>
    <w:p w:rsidR="007B1771" w:rsidRPr="00CC6F86" w:rsidRDefault="007B1771" w:rsidP="00CC6F86">
      <w:pPr>
        <w:widowControl w:val="0"/>
        <w:autoSpaceDE w:val="0"/>
        <w:autoSpaceDN w:val="0"/>
        <w:adjustRightInd w:val="0"/>
        <w:ind w:firstLine="709"/>
        <w:jc w:val="center"/>
        <w:rPr>
          <w:rFonts w:ascii="Times New Roman" w:hAnsi="Times New Roman"/>
          <w:sz w:val="20"/>
          <w:szCs w:val="20"/>
        </w:rPr>
      </w:pPr>
      <w:r w:rsidRPr="00CC6F86">
        <w:rPr>
          <w:rFonts w:ascii="Times New Roman" w:hAnsi="Times New Roman"/>
          <w:i/>
          <w:sz w:val="20"/>
          <w:szCs w:val="20"/>
        </w:rPr>
        <w:t xml:space="preserve">(форма, яка подається учасником на фірмовому бланку (для юридичних осіб) </w:t>
      </w:r>
    </w:p>
    <w:p w:rsidR="007B1771" w:rsidRDefault="007B1771" w:rsidP="008233B9">
      <w:pPr>
        <w:shd w:val="clear" w:color="auto" w:fill="FFFFFF"/>
        <w:spacing w:after="0" w:line="240" w:lineRule="auto"/>
        <w:ind w:firstLine="709"/>
        <w:jc w:val="both"/>
        <w:textAlignment w:val="baseline"/>
        <w:outlineLvl w:val="0"/>
        <w:rPr>
          <w:rFonts w:ascii="Times New Roman" w:hAnsi="Times New Roman"/>
          <w:sz w:val="24"/>
          <w:szCs w:val="24"/>
        </w:rPr>
      </w:pPr>
      <w:r w:rsidRPr="006C0799">
        <w:rPr>
          <w:rFonts w:ascii="Times New Roman" w:hAnsi="Times New Roman"/>
          <w:sz w:val="24"/>
          <w:szCs w:val="24"/>
          <w:lang w:eastAsia="ru-RU"/>
        </w:rPr>
        <w:t xml:space="preserve">  Ми,</w:t>
      </w:r>
      <w:r>
        <w:rPr>
          <w:rFonts w:ascii="Times New Roman" w:hAnsi="Times New Roman"/>
          <w:sz w:val="24"/>
          <w:szCs w:val="24"/>
          <w:lang w:eastAsia="ru-RU"/>
        </w:rPr>
        <w:t xml:space="preserve"> </w:t>
      </w:r>
      <w:r w:rsidRPr="006C0799">
        <w:rPr>
          <w:rFonts w:ascii="Times New Roman" w:hAnsi="Times New Roman"/>
          <w:sz w:val="24"/>
          <w:szCs w:val="24"/>
          <w:lang w:eastAsia="ru-RU"/>
        </w:rPr>
        <w:t>(назва Учасника)_</w:t>
      </w:r>
      <w:r>
        <w:rPr>
          <w:rFonts w:ascii="Times New Roman" w:hAnsi="Times New Roman"/>
          <w:sz w:val="24"/>
          <w:szCs w:val="24"/>
          <w:lang w:eastAsia="ru-RU"/>
        </w:rPr>
        <w:t>_____</w:t>
      </w:r>
      <w:r w:rsidRPr="006C0799">
        <w:rPr>
          <w:rFonts w:ascii="Times New Roman" w:hAnsi="Times New Roman"/>
          <w:sz w:val="24"/>
          <w:szCs w:val="24"/>
          <w:lang w:eastAsia="ru-RU"/>
        </w:rPr>
        <w:t>_____________________________</w:t>
      </w:r>
      <w:r>
        <w:rPr>
          <w:rFonts w:ascii="Times New Roman" w:hAnsi="Times New Roman"/>
          <w:sz w:val="24"/>
          <w:szCs w:val="24"/>
          <w:lang w:eastAsia="ru-RU"/>
        </w:rPr>
        <w:t>____________________</w:t>
      </w:r>
      <w:r w:rsidRPr="006C0799">
        <w:rPr>
          <w:rFonts w:ascii="Times New Roman" w:hAnsi="Times New Roman"/>
          <w:sz w:val="24"/>
          <w:szCs w:val="24"/>
          <w:lang w:eastAsia="ru-RU"/>
        </w:rPr>
        <w:t xml:space="preserve">_, </w:t>
      </w:r>
      <w:r>
        <w:rPr>
          <w:rFonts w:ascii="Times New Roman" w:hAnsi="Times New Roman"/>
          <w:sz w:val="24"/>
          <w:szCs w:val="24"/>
        </w:rPr>
        <w:t xml:space="preserve">             у</w:t>
      </w:r>
      <w:r w:rsidRPr="006C0799">
        <w:rPr>
          <w:rFonts w:ascii="Times New Roman" w:hAnsi="Times New Roman"/>
          <w:sz w:val="24"/>
          <w:szCs w:val="24"/>
        </w:rPr>
        <w:t>важно вивчивши комплект тендерної документації,</w:t>
      </w:r>
      <w:r>
        <w:rPr>
          <w:rFonts w:ascii="Times New Roman" w:hAnsi="Times New Roman"/>
          <w:sz w:val="24"/>
          <w:szCs w:val="24"/>
        </w:rPr>
        <w:t xml:space="preserve"> </w:t>
      </w:r>
      <w:r w:rsidRPr="006C0799">
        <w:rPr>
          <w:rFonts w:ascii="Times New Roman" w:hAnsi="Times New Roman"/>
          <w:sz w:val="24"/>
          <w:szCs w:val="24"/>
        </w:rPr>
        <w:t xml:space="preserve"> цим документом подаємо на участь у торгах щодо закупівлі </w:t>
      </w:r>
      <w:r>
        <w:rPr>
          <w:rFonts w:ascii="Times New Roman" w:hAnsi="Times New Roman"/>
          <w:sz w:val="24"/>
          <w:szCs w:val="24"/>
        </w:rPr>
        <w:t xml:space="preserve"> : </w:t>
      </w:r>
      <w:r w:rsidRPr="00546FD9">
        <w:rPr>
          <w:rFonts w:ascii="Times New Roman" w:hAnsi="Times New Roman"/>
          <w:sz w:val="24"/>
          <w:szCs w:val="24"/>
        </w:rPr>
        <w:t xml:space="preserve">Код згідно  ДК 021:2015 - </w:t>
      </w:r>
      <w:r w:rsidRPr="00546FD9">
        <w:rPr>
          <w:rFonts w:ascii="Times New Roman" w:hAnsi="Times New Roman"/>
          <w:color w:val="000000"/>
          <w:sz w:val="24"/>
          <w:szCs w:val="24"/>
        </w:rPr>
        <w:t>55320000-9 - Послуги з організації харчування</w:t>
      </w:r>
      <w:r w:rsidRPr="00546FD9">
        <w:rPr>
          <w:rFonts w:ascii="Times New Roman" w:hAnsi="Times New Roman"/>
          <w:bCs/>
          <w:color w:val="000000"/>
          <w:sz w:val="24"/>
          <w:szCs w:val="24"/>
        </w:rPr>
        <w:t xml:space="preserve"> (</w:t>
      </w:r>
      <w:r w:rsidRPr="00546FD9">
        <w:rPr>
          <w:rFonts w:ascii="Times New Roman" w:hAnsi="Times New Roman"/>
          <w:sz w:val="24"/>
          <w:szCs w:val="24"/>
        </w:rPr>
        <w:t>послуги з організації гарячого харчування учнів у закладах загальної середньої освіти, учнів та дітей у навчально-виховних комплексах</w:t>
      </w:r>
      <w:r w:rsidRPr="00546FD9">
        <w:rPr>
          <w:rFonts w:ascii="Times New Roman" w:hAnsi="Times New Roman"/>
          <w:bCs/>
          <w:color w:val="000000"/>
          <w:sz w:val="24"/>
          <w:szCs w:val="24"/>
        </w:rPr>
        <w:t>)</w:t>
      </w:r>
      <w:r>
        <w:rPr>
          <w:rFonts w:ascii="Times New Roman" w:hAnsi="Times New Roman"/>
          <w:bCs/>
          <w:color w:val="000000"/>
          <w:sz w:val="24"/>
          <w:szCs w:val="24"/>
        </w:rPr>
        <w:t xml:space="preserve"> </w:t>
      </w:r>
      <w:r w:rsidRPr="006C0799">
        <w:rPr>
          <w:rFonts w:ascii="Times New Roman" w:hAnsi="Times New Roman"/>
          <w:sz w:val="24"/>
          <w:szCs w:val="24"/>
        </w:rP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B1771" w:rsidRPr="006C0799" w:rsidRDefault="007B1771" w:rsidP="008233B9">
      <w:pPr>
        <w:shd w:val="clear" w:color="auto" w:fill="FFFFFF"/>
        <w:spacing w:after="0" w:line="240" w:lineRule="auto"/>
        <w:ind w:firstLine="709"/>
        <w:jc w:val="both"/>
        <w:textAlignment w:val="baseline"/>
        <w:outlineLvl w:val="0"/>
        <w:rPr>
          <w:rFonts w:ascii="Times New Roman" w:hAnsi="Times New Roman"/>
          <w:sz w:val="24"/>
          <w:szCs w:val="24"/>
        </w:rPr>
      </w:pPr>
    </w:p>
    <w:p w:rsidR="007B1771" w:rsidRDefault="007B1771" w:rsidP="00405E4F">
      <w:pPr>
        <w:tabs>
          <w:tab w:val="left" w:pos="0"/>
          <w:tab w:val="center" w:pos="4153"/>
          <w:tab w:val="right" w:pos="8306"/>
        </w:tabs>
        <w:jc w:val="both"/>
        <w:rPr>
          <w:rFonts w:ascii="Times New Roman" w:hAnsi="Times New Roman"/>
          <w:sz w:val="24"/>
          <w:szCs w:val="24"/>
        </w:rPr>
      </w:pPr>
      <w:r w:rsidRPr="003B2C85">
        <w:rPr>
          <w:rFonts w:ascii="Times New Roman" w:hAnsi="Times New Roman"/>
          <w:sz w:val="24"/>
          <w:szCs w:val="24"/>
        </w:rPr>
        <w:t>Загальна вартість</w:t>
      </w:r>
      <w:r w:rsidRPr="003B2C85">
        <w:rPr>
          <w:rFonts w:ascii="Times New Roman" w:hAnsi="Times New Roman"/>
          <w:sz w:val="24"/>
          <w:szCs w:val="24"/>
          <w:vertAlign w:val="superscript"/>
        </w:rPr>
        <w:t>1</w:t>
      </w:r>
      <w:r w:rsidRPr="003B2C85">
        <w:rPr>
          <w:rFonts w:ascii="Times New Roman" w:hAnsi="Times New Roman"/>
          <w:sz w:val="24"/>
          <w:szCs w:val="24"/>
        </w:rPr>
        <w:t xml:space="preserve"> пропозиції складає  ___________(прописом)______ грн. (без ПДВ).</w:t>
      </w:r>
    </w:p>
    <w:p w:rsidR="007B1771" w:rsidRDefault="007B1771" w:rsidP="003B2C85">
      <w:pPr>
        <w:jc w:val="both"/>
        <w:rPr>
          <w:rFonts w:ascii="Times New Roman" w:hAnsi="Times New Roman"/>
          <w:i/>
          <w:color w:val="000000"/>
          <w:sz w:val="20"/>
          <w:szCs w:val="20"/>
        </w:rPr>
      </w:pPr>
      <w:r w:rsidRPr="00C47852">
        <w:rPr>
          <w:rFonts w:ascii="Times New Roman" w:hAnsi="Times New Roman"/>
          <w:i/>
          <w:sz w:val="20"/>
          <w:szCs w:val="20"/>
        </w:rPr>
        <w:t xml:space="preserve">* учасник зазначає загальну вартість послуг відповідно </w:t>
      </w:r>
      <w:r w:rsidRPr="003C45E5">
        <w:rPr>
          <w:rFonts w:ascii="Times New Roman" w:hAnsi="Times New Roman"/>
          <w:i/>
          <w:color w:val="000000"/>
          <w:sz w:val="20"/>
          <w:szCs w:val="20"/>
        </w:rPr>
        <w:t xml:space="preserve">до розрахунків Додатку 4 цієї документації Технічна специфікація.  </w:t>
      </w:r>
    </w:p>
    <w:p w:rsidR="007B1771" w:rsidRDefault="007B1771" w:rsidP="00405E4F">
      <w:pPr>
        <w:jc w:val="both"/>
        <w:rPr>
          <w:i/>
        </w:rPr>
      </w:pPr>
      <w:r w:rsidRPr="003B2C85">
        <w:rPr>
          <w:rFonts w:ascii="Times New Roman" w:hAnsi="Times New Roman"/>
          <w:i/>
          <w:vertAlign w:val="superscript"/>
        </w:rPr>
        <w:t>1</w:t>
      </w:r>
      <w:r w:rsidRPr="003B2C85">
        <w:rPr>
          <w:rFonts w:ascii="Times New Roman" w:hAnsi="Times New Roman"/>
          <w:i/>
        </w:rPr>
        <w:t xml:space="preserve"> - Загальна вартість має враховувати всі затрати учасника (постачальника) на </w:t>
      </w:r>
      <w:r w:rsidRPr="003B2C85">
        <w:rPr>
          <w:rFonts w:ascii="Times New Roman" w:hAnsi="Times New Roman"/>
          <w:i/>
          <w:color w:val="000000"/>
        </w:rPr>
        <w:t>закупку продуктів, транспорт, приготування, на прибирання та миття посуду</w:t>
      </w:r>
      <w:r w:rsidRPr="003B2C85">
        <w:rPr>
          <w:rFonts w:ascii="Times New Roman" w:hAnsi="Times New Roman"/>
          <w:i/>
        </w:rPr>
        <w:t xml:space="preserve">, </w:t>
      </w:r>
      <w:r w:rsidRPr="003B2C85">
        <w:rPr>
          <w:rFonts w:ascii="Times New Roman" w:hAnsi="Times New Roman"/>
          <w:i/>
          <w:color w:val="000000"/>
        </w:rPr>
        <w:t xml:space="preserve">а також </w:t>
      </w:r>
      <w:r w:rsidRPr="003B2C85">
        <w:rPr>
          <w:rFonts w:ascii="Times New Roman" w:hAnsi="Times New Roman"/>
          <w:i/>
        </w:rPr>
        <w:t>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r w:rsidRPr="0003088C">
        <w:rPr>
          <w:sz w:val="18"/>
          <w:szCs w:val="18"/>
        </w:rPr>
        <w:t>.</w:t>
      </w:r>
    </w:p>
    <w:p w:rsidR="007B1771" w:rsidRPr="003B2C85" w:rsidRDefault="007B1771" w:rsidP="00405E4F">
      <w:pPr>
        <w:spacing w:line="276" w:lineRule="auto"/>
        <w:jc w:val="both"/>
        <w:rPr>
          <w:rFonts w:ascii="Times New Roman" w:hAnsi="Times New Roman"/>
        </w:rPr>
      </w:pPr>
      <w:r w:rsidRPr="003B2C85">
        <w:rPr>
          <w:rFonts w:ascii="Times New Roman" w:hAnsi="Times New Roman"/>
        </w:rPr>
        <w:t>1.  До рішення про намір укласти договір про закупівлю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нас буде визнано переможцем, ми візьмемо на себе зобов'язання виконати всі умови, передбачені цією тендерною документацією та основними умовами  договору.</w:t>
      </w:r>
    </w:p>
    <w:p w:rsidR="007B1771" w:rsidRPr="003B2C85" w:rsidRDefault="007B1771" w:rsidP="00405E4F">
      <w:pPr>
        <w:spacing w:line="276" w:lineRule="auto"/>
        <w:jc w:val="both"/>
        <w:rPr>
          <w:rFonts w:ascii="Times New Roman" w:hAnsi="Times New Roman"/>
        </w:rPr>
      </w:pPr>
      <w:r w:rsidRPr="003B2C85">
        <w:rPr>
          <w:rFonts w:ascii="Times New Roman" w:hAnsi="Times New Roman"/>
        </w:rPr>
        <w:t>2. Ми погоджуємося дотримуватися умов цієї пропозиції  120 днів.  Наша пропозиція буде обов'язковою для нас і може  бути  визнана переможцем Вами у будь-який час до закінчення зазначеного терміну.</w:t>
      </w:r>
    </w:p>
    <w:p w:rsidR="007B1771" w:rsidRPr="003B2C85" w:rsidRDefault="007B1771" w:rsidP="00405E4F">
      <w:pPr>
        <w:spacing w:line="276" w:lineRule="auto"/>
        <w:jc w:val="both"/>
        <w:rPr>
          <w:rFonts w:ascii="Times New Roman" w:hAnsi="Times New Roman"/>
        </w:rPr>
      </w:pPr>
      <w:r w:rsidRPr="003B2C85">
        <w:rPr>
          <w:rFonts w:ascii="Times New Roman" w:hAnsi="Times New Roman"/>
        </w:rPr>
        <w:t>3.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B1771" w:rsidRPr="003B2C85" w:rsidRDefault="007B1771" w:rsidP="00405E4F">
      <w:pPr>
        <w:spacing w:line="276" w:lineRule="auto"/>
        <w:jc w:val="both"/>
        <w:rPr>
          <w:rFonts w:ascii="Times New Roman" w:hAnsi="Times New Roman"/>
        </w:rPr>
      </w:pPr>
      <w:r w:rsidRPr="003B2C85">
        <w:rPr>
          <w:rFonts w:ascii="Times New Roman" w:hAnsi="Times New Roman"/>
        </w:rPr>
        <w:t xml:space="preserve">4. Якщо нас буде визнано переможцем, ми зобов'язуємося підписати Договір із Замовником у строк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bookmarkStart w:id="0" w:name="_GoBack"/>
      <w:bookmarkEnd w:id="0"/>
      <w:r w:rsidRPr="003B2C85">
        <w:rPr>
          <w:rFonts w:ascii="Times New Roman" w:hAnsi="Times New Roman"/>
        </w:rPr>
        <w:t>повідомлення про намір укласти договір про закупівлю.</w:t>
      </w:r>
    </w:p>
    <w:p w:rsidR="007B1771" w:rsidRPr="003B2C85" w:rsidRDefault="007B1771" w:rsidP="00405E4F">
      <w:pPr>
        <w:spacing w:line="276" w:lineRule="auto"/>
        <w:ind w:firstLine="540"/>
        <w:jc w:val="center"/>
        <w:rPr>
          <w:rFonts w:ascii="Times New Roman" w:hAnsi="Times New Roman"/>
          <w:i/>
          <w:iCs/>
        </w:rPr>
      </w:pPr>
    </w:p>
    <w:p w:rsidR="007B1771" w:rsidRPr="003B2C85" w:rsidRDefault="007B1771" w:rsidP="00405E4F">
      <w:pPr>
        <w:spacing w:line="276" w:lineRule="auto"/>
        <w:ind w:firstLine="540"/>
        <w:jc w:val="center"/>
        <w:rPr>
          <w:rFonts w:ascii="Times New Roman" w:hAnsi="Times New Roman"/>
        </w:rPr>
      </w:pPr>
      <w:r w:rsidRPr="003B2C85">
        <w:rPr>
          <w:rFonts w:ascii="Times New Roman" w:hAnsi="Times New Roman"/>
          <w:i/>
          <w:iCs/>
        </w:rPr>
        <w:t>Посада, прізвище, ініціали, підпис уповноваженої особи Учасника, завірені печаткою.</w:t>
      </w:r>
    </w:p>
    <w:p w:rsidR="007B1771" w:rsidRDefault="007B1771" w:rsidP="00405E4F">
      <w:pPr>
        <w:ind w:firstLine="709"/>
        <w:jc w:val="both"/>
        <w:rPr>
          <w:rFonts w:ascii="Times New Roman" w:hAnsi="Times New Roman"/>
          <w:b/>
          <w:i/>
          <w:sz w:val="20"/>
          <w:szCs w:val="20"/>
        </w:rPr>
      </w:pPr>
    </w:p>
    <w:p w:rsidR="007B1771" w:rsidRDefault="007B1771" w:rsidP="00405E4F">
      <w:pPr>
        <w:ind w:firstLine="709"/>
        <w:jc w:val="both"/>
        <w:rPr>
          <w:rFonts w:ascii="Times New Roman" w:hAnsi="Times New Roman"/>
          <w:b/>
          <w:i/>
          <w:sz w:val="20"/>
          <w:szCs w:val="20"/>
        </w:rPr>
      </w:pPr>
    </w:p>
    <w:p w:rsidR="007B1771" w:rsidRDefault="007B1771" w:rsidP="00405E4F">
      <w:pPr>
        <w:ind w:firstLine="709"/>
        <w:jc w:val="both"/>
        <w:rPr>
          <w:rFonts w:ascii="Times New Roman" w:hAnsi="Times New Roman"/>
          <w:b/>
          <w:i/>
          <w:sz w:val="20"/>
          <w:szCs w:val="20"/>
        </w:rPr>
      </w:pPr>
    </w:p>
    <w:p w:rsidR="007B1771" w:rsidRDefault="007B1771" w:rsidP="00405E4F">
      <w:pPr>
        <w:ind w:firstLine="709"/>
        <w:jc w:val="both"/>
        <w:rPr>
          <w:rFonts w:ascii="Times New Roman" w:hAnsi="Times New Roman"/>
          <w:b/>
          <w:i/>
          <w:sz w:val="20"/>
          <w:szCs w:val="20"/>
        </w:rPr>
      </w:pPr>
    </w:p>
    <w:p w:rsidR="007B1771" w:rsidRPr="003B2C85" w:rsidRDefault="007B1771" w:rsidP="007E3D7D">
      <w:pPr>
        <w:ind w:firstLine="180"/>
        <w:jc w:val="both"/>
        <w:rPr>
          <w:rFonts w:ascii="Times New Roman" w:hAnsi="Times New Roman"/>
          <w:b/>
          <w:i/>
          <w:sz w:val="20"/>
          <w:szCs w:val="20"/>
        </w:rPr>
      </w:pPr>
      <w:r w:rsidRPr="003B2C85">
        <w:rPr>
          <w:rFonts w:ascii="Times New Roman" w:hAnsi="Times New Roman"/>
          <w:b/>
          <w:i/>
          <w:sz w:val="20"/>
          <w:szCs w:val="20"/>
        </w:rPr>
        <w:t>Примітки:</w:t>
      </w:r>
    </w:p>
    <w:p w:rsidR="007B1771" w:rsidRPr="003B2C85" w:rsidRDefault="007B1771" w:rsidP="007E3D7D">
      <w:pPr>
        <w:spacing w:after="0" w:line="240" w:lineRule="auto"/>
        <w:ind w:firstLine="180"/>
        <w:jc w:val="both"/>
        <w:rPr>
          <w:rFonts w:ascii="Times New Roman" w:hAnsi="Times New Roman"/>
          <w:i/>
        </w:rPr>
      </w:pPr>
      <w:r>
        <w:rPr>
          <w:rFonts w:ascii="Times New Roman" w:hAnsi="Times New Roman"/>
          <w:i/>
          <w:iCs/>
        </w:rPr>
        <w:t xml:space="preserve">      </w:t>
      </w:r>
      <w:r w:rsidRPr="003B2C85">
        <w:rPr>
          <w:rFonts w:ascii="Times New Roman" w:hAnsi="Times New Roman"/>
          <w:i/>
          <w:iCs/>
        </w:rPr>
        <w:t>*</w:t>
      </w:r>
      <w:r w:rsidRPr="003B2C85">
        <w:rPr>
          <w:rFonts w:ascii="Times New Roman" w:hAnsi="Times New Roman"/>
          <w:b/>
          <w:sz w:val="24"/>
          <w:szCs w:val="24"/>
        </w:rPr>
        <w:t xml:space="preserve"> </w:t>
      </w:r>
      <w:r w:rsidRPr="003B2C85">
        <w:rPr>
          <w:rFonts w:ascii="Times New Roman" w:hAnsi="Times New Roman"/>
          <w:sz w:val="24"/>
          <w:szCs w:val="24"/>
        </w:rPr>
        <w:t>«ЦІНА ТЕНДЕРНОЇ ПРОПОЗИЦІЇ»</w:t>
      </w:r>
      <w:r w:rsidRPr="003B2C85">
        <w:rPr>
          <w:rFonts w:ascii="Times New Roman" w:hAnsi="Times New Roman"/>
          <w:i/>
          <w:sz w:val="20"/>
          <w:szCs w:val="20"/>
        </w:rPr>
        <w:t xml:space="preserve"> *</w:t>
      </w:r>
      <w:r w:rsidRPr="003B2C85">
        <w:rPr>
          <w:rFonts w:ascii="Times New Roman" w:hAnsi="Times New Roman"/>
          <w:i/>
        </w:rPr>
        <w:t xml:space="preserve">оформлюється та подається за встановленою </w:t>
      </w:r>
      <w:r>
        <w:rPr>
          <w:rFonts w:ascii="Times New Roman" w:hAnsi="Times New Roman"/>
          <w:i/>
        </w:rPr>
        <w:t xml:space="preserve"> </w:t>
      </w:r>
      <w:r w:rsidRPr="003B2C85">
        <w:rPr>
          <w:rFonts w:ascii="Times New Roman" w:hAnsi="Times New Roman"/>
          <w:i/>
        </w:rPr>
        <w:t>замовником формою. Учасник не повинен відступати від даної форми.</w:t>
      </w:r>
    </w:p>
    <w:p w:rsidR="007B1771" w:rsidRPr="003B2C85" w:rsidRDefault="007B1771" w:rsidP="007E3D7D">
      <w:pPr>
        <w:ind w:left="360" w:firstLine="180"/>
        <w:jc w:val="both"/>
        <w:rPr>
          <w:rFonts w:ascii="Times New Roman" w:hAnsi="Times New Roman"/>
          <w:bCs/>
          <w:i/>
        </w:rPr>
      </w:pPr>
      <w:r w:rsidRPr="003B2C85">
        <w:rPr>
          <w:rFonts w:ascii="Times New Roman" w:hAnsi="Times New Roman"/>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заповнюються та подається (завантажується у електронному вигляді) у складі тендерної пропозиції та повторно після аукціону, під час підготовки документального підтвердження розрахунку зменшеної ціни</w:t>
      </w:r>
      <w:r w:rsidRPr="003B2C85">
        <w:rPr>
          <w:rFonts w:ascii="Times New Roman" w:hAnsi="Times New Roman"/>
          <w:bCs/>
          <w:i/>
        </w:rPr>
        <w:t>.</w:t>
      </w:r>
    </w:p>
    <w:p w:rsidR="007B1771" w:rsidRPr="008D2937" w:rsidRDefault="007B1771" w:rsidP="007E3D7D">
      <w:pPr>
        <w:ind w:firstLine="180"/>
        <w:jc w:val="both"/>
        <w:rPr>
          <w:rFonts w:ascii="Times New Roman" w:hAnsi="Times New Roman"/>
          <w:i/>
        </w:rPr>
      </w:pPr>
      <w:r w:rsidRPr="003B2C85">
        <w:rPr>
          <w:rFonts w:ascii="Times New Roman" w:hAnsi="Times New Roman"/>
          <w:i/>
        </w:rPr>
        <w:t xml:space="preserve">     Відповідно до положень абзацу третього частини 1 статті 28 Закону України "Про публічні закупівлі" " У разі якщо оголошення</w:t>
      </w:r>
      <w:r w:rsidRPr="008D2937">
        <w:rPr>
          <w:rFonts w:ascii="Times New Roman" w:hAnsi="Times New Roman"/>
          <w:i/>
        </w:rPr>
        <w:t xml:space="preserve">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7B1771" w:rsidRPr="00405E4F" w:rsidRDefault="007B1771" w:rsidP="00405E4F">
      <w:pPr>
        <w:jc w:val="both"/>
        <w:rPr>
          <w:rFonts w:ascii="Times New Roman" w:hAnsi="Times New Roman"/>
          <w:i/>
        </w:rPr>
      </w:pPr>
      <w:r w:rsidRPr="00405E4F">
        <w:rPr>
          <w:rFonts w:ascii="Times New Roman" w:hAnsi="Times New Roman"/>
          <w:i/>
        </w:rPr>
        <w:t xml:space="preserve">      З вищевикладеного випливає, що інформація про ціну не може бути розкрита  в період прекваліфікації (по завершенню строку подання тендерних пропозицій) з метою об’єктивного здійснення процедури розгляду тендерних пропозицій учасниками закупівлі. Ціна тендерної пропозиції учасника закупівлі повинна бути розкрита виключно за результатами аукціону закупівель.</w:t>
      </w:r>
    </w:p>
    <w:p w:rsidR="007B1771" w:rsidRPr="00405E4F" w:rsidRDefault="007B1771" w:rsidP="00405E4F">
      <w:pPr>
        <w:tabs>
          <w:tab w:val="left" w:pos="540"/>
        </w:tabs>
        <w:jc w:val="both"/>
        <w:rPr>
          <w:rFonts w:ascii="Times New Roman" w:hAnsi="Times New Roman"/>
          <w:i/>
        </w:rPr>
      </w:pPr>
      <w:r w:rsidRPr="00405E4F">
        <w:rPr>
          <w:rFonts w:ascii="Times New Roman" w:hAnsi="Times New Roman"/>
          <w:i/>
        </w:rPr>
        <w:t xml:space="preserve">      В період закінчення строку подання тендерних пропозицій, зазначених в оголошенні про проведення процедури закупівлі відкриті торги з публікацією англійською мовою у відповідності до положень частини третьої статті 10 цього Закону, розкривається виключно та частина тендерної пропозиції, що містить інформацію та документи, які підтверджують відповідність учасника кваліфікаційним критеріям, та інформацією і документами, що містять технічний опис предмета закупівлі, без зазначення вартості цінової пропозиції. </w:t>
      </w:r>
    </w:p>
    <w:p w:rsidR="007B1771" w:rsidRPr="00405E4F" w:rsidRDefault="007B1771" w:rsidP="00405E4F">
      <w:pPr>
        <w:tabs>
          <w:tab w:val="left" w:pos="540"/>
        </w:tabs>
        <w:jc w:val="both"/>
        <w:rPr>
          <w:rFonts w:ascii="Times New Roman" w:hAnsi="Times New Roman"/>
          <w:i/>
        </w:rPr>
      </w:pPr>
    </w:p>
    <w:p w:rsidR="007B1771" w:rsidRPr="00405E4F" w:rsidRDefault="007B1771" w:rsidP="00405E4F">
      <w:pPr>
        <w:tabs>
          <w:tab w:val="left" w:pos="540"/>
        </w:tabs>
        <w:jc w:val="both"/>
        <w:rPr>
          <w:rFonts w:ascii="Times New Roman" w:hAnsi="Times New Roman"/>
          <w:i/>
        </w:rPr>
      </w:pPr>
    </w:p>
    <w:p w:rsidR="007B1771" w:rsidRDefault="007B1771" w:rsidP="00405E4F">
      <w:pPr>
        <w:tabs>
          <w:tab w:val="left" w:pos="540"/>
        </w:tabs>
        <w:jc w:val="both"/>
        <w:rPr>
          <w:i/>
        </w:rPr>
      </w:pPr>
    </w:p>
    <w:p w:rsidR="007B1771" w:rsidRDefault="007B1771" w:rsidP="00405E4F">
      <w:pPr>
        <w:tabs>
          <w:tab w:val="left" w:pos="540"/>
        </w:tabs>
        <w:jc w:val="both"/>
        <w:rPr>
          <w:i/>
        </w:rPr>
      </w:pPr>
    </w:p>
    <w:p w:rsidR="007B1771" w:rsidRDefault="007B1771" w:rsidP="00405E4F">
      <w:pPr>
        <w:tabs>
          <w:tab w:val="left" w:pos="540"/>
        </w:tabs>
        <w:jc w:val="both"/>
        <w:rPr>
          <w:i/>
        </w:rPr>
      </w:pPr>
    </w:p>
    <w:p w:rsidR="007B1771" w:rsidRDefault="007B1771" w:rsidP="00405E4F">
      <w:pPr>
        <w:tabs>
          <w:tab w:val="left" w:pos="540"/>
        </w:tabs>
        <w:jc w:val="both"/>
        <w:rPr>
          <w:i/>
        </w:rPr>
      </w:pPr>
    </w:p>
    <w:p w:rsidR="007B1771" w:rsidRDefault="007B1771" w:rsidP="00405E4F">
      <w:pPr>
        <w:tabs>
          <w:tab w:val="left" w:pos="540"/>
        </w:tabs>
        <w:jc w:val="both"/>
        <w:rPr>
          <w:i/>
        </w:rPr>
      </w:pPr>
    </w:p>
    <w:p w:rsidR="007B1771" w:rsidRDefault="007B1771" w:rsidP="00405E4F">
      <w:pPr>
        <w:tabs>
          <w:tab w:val="left" w:pos="540"/>
        </w:tabs>
        <w:jc w:val="both"/>
        <w:rPr>
          <w:i/>
        </w:rPr>
      </w:pPr>
    </w:p>
    <w:p w:rsidR="007B1771" w:rsidRDefault="007B1771" w:rsidP="00AC4060">
      <w:pPr>
        <w:jc w:val="both"/>
        <w:rPr>
          <w:rFonts w:ascii="Times New Roman" w:hAnsi="Times New Roman"/>
          <w:i/>
          <w:color w:val="000000"/>
          <w:sz w:val="20"/>
          <w:szCs w:val="20"/>
        </w:rPr>
      </w:pPr>
    </w:p>
    <w:p w:rsidR="007B1771" w:rsidRPr="003C45E5" w:rsidRDefault="007B1771" w:rsidP="00AC4060">
      <w:pPr>
        <w:jc w:val="both"/>
        <w:rPr>
          <w:rFonts w:ascii="Times New Roman" w:hAnsi="Times New Roman"/>
          <w:i/>
          <w:color w:val="000000"/>
          <w:sz w:val="20"/>
          <w:szCs w:val="20"/>
        </w:rPr>
      </w:pPr>
    </w:p>
    <w:sectPr w:rsidR="007B1771" w:rsidRPr="003C45E5" w:rsidSect="002C5258">
      <w:pgSz w:w="11906" w:h="16838"/>
      <w:pgMar w:top="719" w:right="38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5256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0280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74BC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B005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A813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428F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200E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B2E8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6A9F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4A36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692"/>
    <w:rsid w:val="0003088C"/>
    <w:rsid w:val="000623B6"/>
    <w:rsid w:val="000842A4"/>
    <w:rsid w:val="00094E9F"/>
    <w:rsid w:val="000E26D3"/>
    <w:rsid w:val="001511E0"/>
    <w:rsid w:val="001877C6"/>
    <w:rsid w:val="001F3486"/>
    <w:rsid w:val="00227D1D"/>
    <w:rsid w:val="00281858"/>
    <w:rsid w:val="002C5258"/>
    <w:rsid w:val="002E69CB"/>
    <w:rsid w:val="00370FFC"/>
    <w:rsid w:val="00376692"/>
    <w:rsid w:val="003B2C85"/>
    <w:rsid w:val="003C45E5"/>
    <w:rsid w:val="003F6706"/>
    <w:rsid w:val="00405E4F"/>
    <w:rsid w:val="004657F7"/>
    <w:rsid w:val="00466D73"/>
    <w:rsid w:val="00497CE4"/>
    <w:rsid w:val="004F3FF0"/>
    <w:rsid w:val="00504373"/>
    <w:rsid w:val="00546FD9"/>
    <w:rsid w:val="00562436"/>
    <w:rsid w:val="005A5B65"/>
    <w:rsid w:val="00630516"/>
    <w:rsid w:val="0064765F"/>
    <w:rsid w:val="00692033"/>
    <w:rsid w:val="006C0799"/>
    <w:rsid w:val="0071380A"/>
    <w:rsid w:val="00717C7E"/>
    <w:rsid w:val="00747E41"/>
    <w:rsid w:val="007B1771"/>
    <w:rsid w:val="007E3D7D"/>
    <w:rsid w:val="008233B9"/>
    <w:rsid w:val="008242ED"/>
    <w:rsid w:val="00857383"/>
    <w:rsid w:val="008D2937"/>
    <w:rsid w:val="008F26EE"/>
    <w:rsid w:val="00902CBE"/>
    <w:rsid w:val="009256F4"/>
    <w:rsid w:val="00970993"/>
    <w:rsid w:val="00971955"/>
    <w:rsid w:val="00974FEB"/>
    <w:rsid w:val="00A805D5"/>
    <w:rsid w:val="00AB0FF3"/>
    <w:rsid w:val="00AC3587"/>
    <w:rsid w:val="00AC4060"/>
    <w:rsid w:val="00AF3E79"/>
    <w:rsid w:val="00AF6E79"/>
    <w:rsid w:val="00B0197F"/>
    <w:rsid w:val="00B029BA"/>
    <w:rsid w:val="00B614F6"/>
    <w:rsid w:val="00B91756"/>
    <w:rsid w:val="00BA163A"/>
    <w:rsid w:val="00BE50E4"/>
    <w:rsid w:val="00BE698F"/>
    <w:rsid w:val="00BF7F73"/>
    <w:rsid w:val="00C41FF9"/>
    <w:rsid w:val="00C47852"/>
    <w:rsid w:val="00C57598"/>
    <w:rsid w:val="00C61422"/>
    <w:rsid w:val="00C83FC0"/>
    <w:rsid w:val="00CC6F86"/>
    <w:rsid w:val="00CF54FB"/>
    <w:rsid w:val="00D164A6"/>
    <w:rsid w:val="00D8344F"/>
    <w:rsid w:val="00D90B72"/>
    <w:rsid w:val="00DC612E"/>
    <w:rsid w:val="00DF39F9"/>
    <w:rsid w:val="00E22BDB"/>
    <w:rsid w:val="00E76C33"/>
    <w:rsid w:val="00E81BBB"/>
    <w:rsid w:val="00E91B43"/>
    <w:rsid w:val="00EA46C3"/>
    <w:rsid w:val="00EF7836"/>
    <w:rsid w:val="00F824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92"/>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2</Pages>
  <Words>740</Words>
  <Characters>4221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64</cp:revision>
  <dcterms:created xsi:type="dcterms:W3CDTF">2020-09-16T15:31:00Z</dcterms:created>
  <dcterms:modified xsi:type="dcterms:W3CDTF">2022-06-16T15:21:00Z</dcterms:modified>
</cp:coreProperties>
</file>