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ДОДАТОК  2</w:t>
      </w:r>
    </w:p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до тендерної документації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adjustRightInd w:val="0"/>
        <w:snapToGrid w:val="0"/>
        <w:spacing w:line="276" w:lineRule="auto"/>
        <w:jc w:val="center"/>
        <w:rPr>
          <w:rFonts w:ascii="Times New Roman" w:hAnsi="Times New Roman" w:eastAsia="Arial" w:cs="Times New Roman"/>
          <w:b/>
          <w:i/>
          <w:sz w:val="24"/>
          <w:szCs w:val="24"/>
          <w:u w:val="single"/>
          <w:lang w:eastAsia="ru-RU"/>
        </w:rPr>
      </w:pPr>
    </w:p>
    <w:p>
      <w:pPr>
        <w:adjustRightInd w:val="0"/>
        <w:snapToGrid w:val="0"/>
        <w:spacing w:line="276" w:lineRule="auto"/>
        <w:jc w:val="center"/>
        <w:rPr>
          <w:rFonts w:ascii="Times New Roman" w:hAnsi="Times New Roman" w:eastAsia="Arial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eastAsia="Arial" w:cs="Times New Roman"/>
          <w:b/>
          <w:i/>
          <w:sz w:val="24"/>
          <w:szCs w:val="24"/>
          <w:u w:val="single"/>
          <w:lang w:eastAsia="ru-RU"/>
        </w:rPr>
        <w:t>Труби та супутні вироби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ДК 021:2015: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44160000-9 Магістралі, трубопроводи, труби, обсадні труби, тюбінги та супутні вироби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Товар, зазначений в даному технічному завданні повинний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Труби</w:t>
      </w:r>
    </w:p>
    <w:tbl>
      <w:tblPr>
        <w:tblStyle w:val="9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980"/>
        <w:gridCol w:w="1056"/>
        <w:gridCol w:w="1196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товару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Оди-ниця виміру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м.погон.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Технічні, якісні характеристики товару запропоно-ваного учасником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(заповнюється учасником при поданні тендерної пропозиції)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76/140мм(труба сталева Ø 76х3,5 мм, матеріал - Ст20,ДСТУ 8943:2019,8938:2019, 8939:2019) ДСТУ Б В.2.5-31:2007 або 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253:2016(Коефіцієнт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108/200мм(труба сталева Ø 108х4,0 мм, матеріал - Ст20,ДСТУ 8943:2019,8938:2019, 8939:2019) ДСТУ Б В.2.5-31:2007 або ДСТУ EN 253:2016 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133/225мм(труба сталева Ø 133х4,0 мм, матеріал - Ст20,ДСТУ 8943:2019,8938:2019, 8939:2019) ДСТУ Б В.2.5-31:2007 або ДСТУ EN 253:2016 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Супутні  вироби</w:t>
      </w:r>
    </w:p>
    <w:tbl>
      <w:tblPr>
        <w:tblStyle w:val="9"/>
        <w:tblW w:w="1034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892"/>
        <w:gridCol w:w="1101"/>
        <w:gridCol w:w="1187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Оди-ниця виміру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Технічні, якісні характеристики товару запропонованого учасником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(заповнюється учасником при поданні тендерної пропозиції)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Коліно крутовигнуте стандартне  90° попередньо теплоізольоване, типорозмір 108/200 мм (Ø108х4,0 мм ГОСТ 17375-2001)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Коліно крутовигнуте стандартне  90° попередньо теплоізольоване, типорозмір 133/225 мм (Ø133х4,0 мм ГОСТ 17375-2001)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ЕР-3, з термоусадковою муфтою, типорозмір 76/140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ЕР-3, з термоусадковою муфтою, типорозмір 108/200мм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ЕР-3, з термоусадковою муфтою, типорозмір 133/225мм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15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</w:rPr>
        <w:t>У разі якщо найменування чи технічні характеристики мають посилання на конкретну торгівельну марку, фірму, патент або виробника читати у редакції «… або еквівалент»</w:t>
      </w:r>
      <w:r>
        <w:rPr>
          <w:b/>
          <w:color w:val="000000"/>
          <w:u w:val="single"/>
          <w:lang w:val="uk-UA"/>
        </w:rPr>
        <w:t>.</w:t>
      </w:r>
    </w:p>
    <w:p>
      <w:pPr>
        <w:spacing w:after="0" w:line="240" w:lineRule="auto"/>
        <w:ind w:left="792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закупівлі повинен відповідатинаступним параметрам та вимоги до Учасника: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Труби сталеві  виготовляються у відповідності до ДСТУ 8939:2019 та/або ДСТУ 8938:2019 та/або ДСТУ 8943:2019.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надати: сертифікат про відповідність технічному регламенту безпеки обладнання, що працює під тиском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або сертифікат відповідності на труби сталеві.</w:t>
      </w:r>
      <w:bookmarkStart w:id="0" w:name="_GoBack"/>
      <w:bookmarkEnd w:id="0"/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Поверхня сталевих труб повинна бути очищена від мастил, іржі, окалини і пилу до ступеня 3 очищення від оксидів та першого ступеня знежирення.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оцінки стану поверхні сталевих труб.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 повинні відповідати вимогам ДСТУ Б.В.2.5-31:2007 або ДСТУ EN 253:2016 (і/або ДСТУ EN 448:2016). 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Пінополіуретанова система для формування теплоізоляції труб та фасонних виробів не повинна містити озоноруйнівних речовин, зокрема фтору та хлор-вуглеводнів.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підтвердженнянадати документ щодо відсутності озоноруйнівних речовин у пінополіуретановій системі.</w:t>
      </w:r>
    </w:p>
    <w:p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Пінополіуретанову теплоізоляцію сформувати на основі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циклопентанового</w:t>
      </w:r>
      <w:r>
        <w:rPr>
          <w:rFonts w:ascii="Times New Roman" w:hAnsi="Times New Roman" w:cs="Times New Roman"/>
          <w:sz w:val="24"/>
          <w:szCs w:val="24"/>
        </w:rPr>
        <w:t xml:space="preserve"> вспінення.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відповідності або протокол сертифікаційних випробувань.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Коефіцієнт теплопровідності (kso) свіжосформованої теплоізоляції (середнє значення коефіцієнту теплопровідності (kso) свіжосформованої теплоізоляції), визначений згідно  ДСТУ Б В.2.5-31:2007 (ДСТУ Б В.2.7-105-2000 Матеріали і вироби будівельні. Метод визначення теплопровідності і термічного опору при стаціонарному тепловому режимі (ГОСТ 7076-99)) або ДСТУ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253:2016, повинен бути не більше 0,027 Вт/(м*К).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випробувань з визначення теплопровідності.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Оболонки труб повинні відповідати ДСТУ Б В.2.5-31:2007 або ДСТУ EN 253:2016. Властивості композицій поліетилену ПЕ 63 - згідно з ГОСТ 16338 (марка 273-79). Властивості композицій поліетилену ПЕ 80 і ПЕ 100 - згідно з ДСТУ Б В.2.7-73-98, матеріал труби повинен бути чорного кольору. </w:t>
      </w:r>
      <w:r>
        <w:rPr>
          <w:rFonts w:ascii="Times New Roman" w:hAnsi="Times New Roman" w:cs="Times New Roman"/>
          <w:b/>
          <w:i/>
          <w:sz w:val="24"/>
          <w:szCs w:val="24"/>
        </w:rPr>
        <w:t>Учасник повинен надати сертифікати якості на оболонки.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Всі комплекти ізоляції стиків для трубопроводів повинні бути з термоусадковими муфтами, а компоненти пінополіуретанової системи для ізоляції стиків (зварних з’єднань) поставлятися фасованими відповідно до діаметру труби.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титульну сторінку документу згідно якого виготовляються муфти (ТУ).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Труби сталеві попередньо теплоізольовані довжиною  –   11÷12 м.п.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сертифікат про відповідність системи управління якістю виробництва продукції вимогам міжнародного стандарту серії ISO 9001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(від виробника предмету закупівлі)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  <w:lang w:val="uk-UA"/>
        </w:rPr>
        <w:t>а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  <w:t>бо ДСТУ ISO 9001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гарантію виробника на продукцію, що буде поставлятися.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Надання документального підтвердження наявності обладнання по змішуванню піноутворювача у власності або оренді завода - виробника.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Акт обстеження виробництва органом сертифікації діючим в Україні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DFEFD"/>
        </w:rPr>
        <w:t>та/або інші документи передбачені органами сертифікації.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>
        <w:rPr>
          <w:rFonts w:ascii="Times New Roman" w:hAnsi="Times New Roman" w:cs="Times New Roman"/>
          <w:sz w:val="24"/>
          <w:szCs w:val="24"/>
        </w:rPr>
        <w:t xml:space="preserve"> на теплоізольовані елементи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Гарантійний термін </w:t>
      </w:r>
      <w:r>
        <w:rPr>
          <w:rFonts w:ascii="Times New Roman" w:hAnsi="Times New Roman" w:cs="Times New Roman"/>
          <w:sz w:val="24"/>
          <w:szCs w:val="24"/>
        </w:rPr>
        <w:t xml:space="preserve">для компонентів пінополіуретанової системи для ізоляції стиків (зварних з’єднань) не менше, ніж 6 (шість) місяців з дати поставки товару та підписання сторонами видаткової накладної. </w:t>
      </w:r>
      <w:r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лист.</w:t>
      </w:r>
    </w:p>
    <w:p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(прізвище, ініціали, підпис – для фізичної особи).</w:t>
      </w:r>
    </w:p>
    <w:sectPr>
      <w:pgSz w:w="11906" w:h="16838"/>
      <w:pgMar w:top="426" w:right="424" w:bottom="426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01219"/>
    <w:multiLevelType w:val="multilevel"/>
    <w:tmpl w:val="2E3012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 CYR" w:hAnsi="Times New Roman CYR" w:cs="Times New Roman CYR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E"/>
    <w:rsid w:val="00030B80"/>
    <w:rsid w:val="00043ABA"/>
    <w:rsid w:val="00052010"/>
    <w:rsid w:val="0005222A"/>
    <w:rsid w:val="00053D7C"/>
    <w:rsid w:val="00055EE3"/>
    <w:rsid w:val="000B02FB"/>
    <w:rsid w:val="000B1703"/>
    <w:rsid w:val="000B2308"/>
    <w:rsid w:val="000C5096"/>
    <w:rsid w:val="000E0232"/>
    <w:rsid w:val="000F4E54"/>
    <w:rsid w:val="000F5216"/>
    <w:rsid w:val="000F79F8"/>
    <w:rsid w:val="001400E0"/>
    <w:rsid w:val="00140E03"/>
    <w:rsid w:val="00142D28"/>
    <w:rsid w:val="00142EB5"/>
    <w:rsid w:val="0014322F"/>
    <w:rsid w:val="00177664"/>
    <w:rsid w:val="001875F1"/>
    <w:rsid w:val="001F4916"/>
    <w:rsid w:val="00204D93"/>
    <w:rsid w:val="00234850"/>
    <w:rsid w:val="00235B8E"/>
    <w:rsid w:val="00263294"/>
    <w:rsid w:val="002644AD"/>
    <w:rsid w:val="002C7230"/>
    <w:rsid w:val="002E2A8C"/>
    <w:rsid w:val="002E4AFF"/>
    <w:rsid w:val="00300DAC"/>
    <w:rsid w:val="003525C0"/>
    <w:rsid w:val="0035679E"/>
    <w:rsid w:val="00357C19"/>
    <w:rsid w:val="00360CD1"/>
    <w:rsid w:val="00372E4E"/>
    <w:rsid w:val="00387E36"/>
    <w:rsid w:val="00394E04"/>
    <w:rsid w:val="003C0074"/>
    <w:rsid w:val="003C5D94"/>
    <w:rsid w:val="003C6896"/>
    <w:rsid w:val="003E30FC"/>
    <w:rsid w:val="003F0E92"/>
    <w:rsid w:val="003F6E25"/>
    <w:rsid w:val="0041209F"/>
    <w:rsid w:val="0044715E"/>
    <w:rsid w:val="004A2A06"/>
    <w:rsid w:val="004B2DCE"/>
    <w:rsid w:val="004C047D"/>
    <w:rsid w:val="004D18FF"/>
    <w:rsid w:val="004D72DF"/>
    <w:rsid w:val="004E2CE5"/>
    <w:rsid w:val="004F1FB1"/>
    <w:rsid w:val="005073D8"/>
    <w:rsid w:val="005309B4"/>
    <w:rsid w:val="005322E3"/>
    <w:rsid w:val="00535FB0"/>
    <w:rsid w:val="00586E82"/>
    <w:rsid w:val="00587368"/>
    <w:rsid w:val="005C23B4"/>
    <w:rsid w:val="005D4C78"/>
    <w:rsid w:val="005D6EB6"/>
    <w:rsid w:val="005F2C28"/>
    <w:rsid w:val="005F42CA"/>
    <w:rsid w:val="0061291A"/>
    <w:rsid w:val="006244F6"/>
    <w:rsid w:val="00645319"/>
    <w:rsid w:val="00647D81"/>
    <w:rsid w:val="006507C1"/>
    <w:rsid w:val="00651E18"/>
    <w:rsid w:val="006570F1"/>
    <w:rsid w:val="006940A9"/>
    <w:rsid w:val="006A5693"/>
    <w:rsid w:val="006A648C"/>
    <w:rsid w:val="006D08E8"/>
    <w:rsid w:val="006E05F4"/>
    <w:rsid w:val="006F3D43"/>
    <w:rsid w:val="007004E8"/>
    <w:rsid w:val="007133D2"/>
    <w:rsid w:val="007534D5"/>
    <w:rsid w:val="00766FC9"/>
    <w:rsid w:val="00767864"/>
    <w:rsid w:val="007745B7"/>
    <w:rsid w:val="007A0D5A"/>
    <w:rsid w:val="007C058D"/>
    <w:rsid w:val="007E5986"/>
    <w:rsid w:val="00814111"/>
    <w:rsid w:val="00815F3C"/>
    <w:rsid w:val="00817655"/>
    <w:rsid w:val="00832D9A"/>
    <w:rsid w:val="00833E18"/>
    <w:rsid w:val="008427AF"/>
    <w:rsid w:val="00847739"/>
    <w:rsid w:val="008608C0"/>
    <w:rsid w:val="00863486"/>
    <w:rsid w:val="00865A46"/>
    <w:rsid w:val="00880CD6"/>
    <w:rsid w:val="00891196"/>
    <w:rsid w:val="008A2689"/>
    <w:rsid w:val="008A64BD"/>
    <w:rsid w:val="008B22FA"/>
    <w:rsid w:val="008B776C"/>
    <w:rsid w:val="008C129C"/>
    <w:rsid w:val="009068E6"/>
    <w:rsid w:val="00915CC1"/>
    <w:rsid w:val="00916933"/>
    <w:rsid w:val="009226D8"/>
    <w:rsid w:val="0093369D"/>
    <w:rsid w:val="009370C6"/>
    <w:rsid w:val="00947AF8"/>
    <w:rsid w:val="0095072C"/>
    <w:rsid w:val="00951543"/>
    <w:rsid w:val="00956E41"/>
    <w:rsid w:val="00990925"/>
    <w:rsid w:val="009A4290"/>
    <w:rsid w:val="009E58FE"/>
    <w:rsid w:val="00A03E19"/>
    <w:rsid w:val="00A11DE0"/>
    <w:rsid w:val="00A2779E"/>
    <w:rsid w:val="00A53DA3"/>
    <w:rsid w:val="00A54D66"/>
    <w:rsid w:val="00A550A2"/>
    <w:rsid w:val="00A57442"/>
    <w:rsid w:val="00A57733"/>
    <w:rsid w:val="00A85BD0"/>
    <w:rsid w:val="00AC3BDA"/>
    <w:rsid w:val="00B04C03"/>
    <w:rsid w:val="00B06EC1"/>
    <w:rsid w:val="00B12FAD"/>
    <w:rsid w:val="00B16963"/>
    <w:rsid w:val="00B71C31"/>
    <w:rsid w:val="00B82F66"/>
    <w:rsid w:val="00B841FE"/>
    <w:rsid w:val="00BA1672"/>
    <w:rsid w:val="00BC2438"/>
    <w:rsid w:val="00BD4BE6"/>
    <w:rsid w:val="00BE2C08"/>
    <w:rsid w:val="00BE7536"/>
    <w:rsid w:val="00BF3FCE"/>
    <w:rsid w:val="00C26019"/>
    <w:rsid w:val="00C529C3"/>
    <w:rsid w:val="00C54E58"/>
    <w:rsid w:val="00C662DF"/>
    <w:rsid w:val="00C74C9C"/>
    <w:rsid w:val="00C7659E"/>
    <w:rsid w:val="00C92767"/>
    <w:rsid w:val="00C95AD7"/>
    <w:rsid w:val="00CC30B9"/>
    <w:rsid w:val="00CF3534"/>
    <w:rsid w:val="00CF3BF9"/>
    <w:rsid w:val="00D31929"/>
    <w:rsid w:val="00D54817"/>
    <w:rsid w:val="00D56B16"/>
    <w:rsid w:val="00D709CB"/>
    <w:rsid w:val="00DA5ED5"/>
    <w:rsid w:val="00DB6445"/>
    <w:rsid w:val="00DC7175"/>
    <w:rsid w:val="00DD4C80"/>
    <w:rsid w:val="00DF2FFD"/>
    <w:rsid w:val="00E00E22"/>
    <w:rsid w:val="00E06A16"/>
    <w:rsid w:val="00E12675"/>
    <w:rsid w:val="00E13F96"/>
    <w:rsid w:val="00E3380B"/>
    <w:rsid w:val="00E465AB"/>
    <w:rsid w:val="00E5554E"/>
    <w:rsid w:val="00E63C5B"/>
    <w:rsid w:val="00E71506"/>
    <w:rsid w:val="00E73173"/>
    <w:rsid w:val="00E8081D"/>
    <w:rsid w:val="00E862AC"/>
    <w:rsid w:val="00E95389"/>
    <w:rsid w:val="00E95A5E"/>
    <w:rsid w:val="00EC364A"/>
    <w:rsid w:val="00ED3813"/>
    <w:rsid w:val="00EF40AA"/>
    <w:rsid w:val="00F26714"/>
    <w:rsid w:val="00F361E0"/>
    <w:rsid w:val="00F372E4"/>
    <w:rsid w:val="00F4366C"/>
    <w:rsid w:val="00F9386A"/>
    <w:rsid w:val="00FA772A"/>
    <w:rsid w:val="00FB5724"/>
    <w:rsid w:val="00FE014F"/>
    <w:rsid w:val="00FE4CA4"/>
    <w:rsid w:val="00FF035A"/>
    <w:rsid w:val="00FF5500"/>
    <w:rsid w:val="00FF65FF"/>
    <w:rsid w:val="2A937751"/>
    <w:rsid w:val="2FD443BD"/>
    <w:rsid w:val="54411E49"/>
    <w:rsid w:val="679A7E63"/>
    <w:rsid w:val="77F968ED"/>
    <w:rsid w:val="7D641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autoRedefine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6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autoRedefine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4"/>
    <w:autoRedefine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5"/>
    <w:autoRedefine/>
    <w:semiHidden/>
    <w:unhideWhenUsed/>
    <w:qFormat/>
    <w:uiPriority w:val="99"/>
    <w:rPr>
      <w:b/>
      <w:bCs/>
    </w:rPr>
  </w:style>
  <w:style w:type="character" w:styleId="14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16">
    <w:name w:val="Subtitle"/>
    <w:basedOn w:val="1"/>
    <w:next w:val="1"/>
    <w:autoRedefine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itle"/>
    <w:basedOn w:val="1"/>
    <w:next w:val="1"/>
    <w:autoRedefine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9">
    <w:name w:val="Table Normal1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 Normal2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14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3">
    <w:name w:val="rvps2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customStyle="1" w:styleId="24">
    <w:name w:val="Текст примечания Знак"/>
    <w:basedOn w:val="8"/>
    <w:link w:val="12"/>
    <w:autoRedefine/>
    <w:semiHidden/>
    <w:qFormat/>
    <w:uiPriority w:val="99"/>
    <w:rPr>
      <w:sz w:val="20"/>
      <w:szCs w:val="20"/>
    </w:rPr>
  </w:style>
  <w:style w:type="character" w:customStyle="1" w:styleId="25">
    <w:name w:val="Тема примечания Знак"/>
    <w:basedOn w:val="24"/>
    <w:link w:val="13"/>
    <w:autoRedefine/>
    <w:semiHidden/>
    <w:qFormat/>
    <w:uiPriority w:val="99"/>
    <w:rPr>
      <w:b/>
      <w:bCs/>
      <w:sz w:val="20"/>
      <w:szCs w:val="20"/>
    </w:rPr>
  </w:style>
  <w:style w:type="character" w:customStyle="1" w:styleId="26">
    <w:name w:val="Текст выноски Знак"/>
    <w:basedOn w:val="8"/>
    <w:link w:val="10"/>
    <w:autoRedefine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7">
    <w:name w:val="_Style 25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26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7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8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29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30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3">
    <w:name w:val="Normal Знак"/>
    <w:link w:val="34"/>
    <w:autoRedefine/>
    <w:qFormat/>
    <w:uiPriority w:val="0"/>
    <w:rPr>
      <w:rFonts w:ascii="Arial" w:hAnsi="Arial" w:eastAsia="Arial" w:cs="Arial"/>
      <w:color w:val="000000"/>
    </w:rPr>
  </w:style>
  <w:style w:type="paragraph" w:customStyle="1" w:styleId="34">
    <w:name w:val="Обычный1"/>
    <w:link w:val="33"/>
    <w:autoRedefine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uk-UA" w:eastAsia="uk-UA" w:bidi="ar-SA"/>
    </w:rPr>
  </w:style>
  <w:style w:type="paragraph" w:styleId="35">
    <w:name w:val="No Spacing"/>
    <w:link w:val="36"/>
    <w:autoRedefine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36">
    <w:name w:val="Без интервала Знак"/>
    <w:link w:val="35"/>
    <w:autoRedefine/>
    <w:qFormat/>
    <w:locked/>
    <w:uiPriority w:val="1"/>
    <w:rPr>
      <w:rFonts w:cs="Times New Roman"/>
      <w:lang w:eastAsia="en-US"/>
    </w:rPr>
  </w:style>
  <w:style w:type="paragraph" w:styleId="37">
    <w:name w:val="List Paragraph"/>
    <w:basedOn w:val="1"/>
    <w:link w:val="38"/>
    <w:autoRedefine/>
    <w:qFormat/>
    <w:uiPriority w:val="34"/>
    <w:pPr>
      <w:spacing w:after="200" w:line="276" w:lineRule="auto"/>
      <w:ind w:left="720"/>
    </w:pPr>
    <w:rPr>
      <w:lang w:val="ru-RU" w:eastAsia="ru-RU"/>
    </w:rPr>
  </w:style>
  <w:style w:type="character" w:customStyle="1" w:styleId="38">
    <w:name w:val="Абзац списка Знак"/>
    <w:link w:val="37"/>
    <w:autoRedefine/>
    <w:qFormat/>
    <w:uiPriority w:val="34"/>
    <w:rPr>
      <w:lang w:val="ru-RU" w:eastAsia="ru-RU"/>
    </w:rPr>
  </w:style>
  <w:style w:type="paragraph" w:customStyle="1" w:styleId="39">
    <w:name w:val="Абзац списка1"/>
    <w:basedOn w:val="1"/>
    <w:autoRedefine/>
    <w:qFormat/>
    <w:uiPriority w:val="0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1000</Words>
  <Characters>5704</Characters>
  <Lines>47</Lines>
  <Paragraphs>13</Paragraphs>
  <TotalTime>24</TotalTime>
  <ScaleCrop>false</ScaleCrop>
  <LinksUpToDate>false</LinksUpToDate>
  <CharactersWithSpaces>6691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2024-04-10T10:19:00Z</dcterms:created>
  <dc:creator>userua12</dc:creator>
  <cp:lastModifiedBy>Вадим</cp:lastModifiedBy>
  <cp:lastPrinted>2024-02-15T12:02:00Z</cp:lastPrinted>
  <dcterms:modified xsi:type="dcterms:W3CDTF">2024-04-16T11:30:40Z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B981AA8091C7433CA63D84B9B5B0038A_13</vt:lpwstr>
  </property>
</Properties>
</file>