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AD4009" w:rsidP="00EF2120">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2D1F3F" w:rsidRPr="002D1F3F" w:rsidRDefault="002D1F3F"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sz w:val="24"/>
          <w:szCs w:val="24"/>
        </w:rPr>
      </w:pPr>
      <w:r w:rsidRPr="002D1F3F">
        <w:rPr>
          <w:rStyle w:val="apple-converted-space"/>
          <w:b/>
          <w:sz w:val="24"/>
          <w:szCs w:val="24"/>
        </w:rPr>
        <w:t xml:space="preserve">Поточний ремонт підвального приміщення (укриття) в Початковій школі № 41 Полтавської міської ради за адресою: м. Полтава, пров. Давидовського, 12 (45450000-6) </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7B7088" w:rsidRPr="007B7088">
        <w:rPr>
          <w:rStyle w:val="apple-converted-space"/>
          <w:rFonts w:ascii="Times New Roman" w:hAnsi="Times New Roman"/>
          <w:b/>
        </w:rPr>
        <w:t>Поточний ремонт підвального приміщення (укриття) в Початковій школі № 41 Полтавської міської ради за адресою: м. Полтава, пров. Давидовського, 12 (45450000-6)</w:t>
      </w:r>
      <w:r w:rsidR="001527CA" w:rsidRPr="001527CA">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w:t>
      </w:r>
      <w:r w:rsidRPr="00CB46A8">
        <w:rPr>
          <w:sz w:val="24"/>
          <w:szCs w:val="24"/>
        </w:rPr>
        <w:lastRenderedPageBreak/>
        <w:t xml:space="preserve">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0" w:name="bookmark0"/>
      <w:r w:rsidRPr="00CB46A8">
        <w:rPr>
          <w:sz w:val="24"/>
          <w:szCs w:val="24"/>
        </w:rPr>
        <w:t>Вартість Послуг і порядок розрахунків</w:t>
      </w:r>
      <w:bookmarkEnd w:id="0"/>
    </w:p>
    <w:p w:rsidR="00EF2120" w:rsidRPr="00CB46A8" w:rsidRDefault="00EF2120" w:rsidP="00EF2120">
      <w:pPr>
        <w:pStyle w:val="10"/>
        <w:keepNext/>
        <w:keepLines/>
        <w:numPr>
          <w:ilvl w:val="1"/>
          <w:numId w:val="1"/>
        </w:numPr>
        <w:shd w:val="clear" w:color="auto" w:fill="auto"/>
        <w:ind w:left="20" w:right="20"/>
        <w:rPr>
          <w:sz w:val="24"/>
          <w:szCs w:val="24"/>
        </w:rPr>
      </w:pPr>
      <w:bookmarkStart w:id="1"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1"/>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D75019">
      <w:pPr>
        <w:pStyle w:val="10"/>
        <w:keepNext/>
        <w:keepLines/>
        <w:numPr>
          <w:ilvl w:val="0"/>
          <w:numId w:val="2"/>
        </w:numPr>
        <w:shd w:val="clear" w:color="auto" w:fill="auto"/>
        <w:ind w:left="20" w:right="20"/>
        <w:rPr>
          <w:sz w:val="24"/>
          <w:szCs w:val="24"/>
        </w:rPr>
      </w:pPr>
      <w:bookmarkStart w:id="2" w:name="bookmark2"/>
      <w:r w:rsidRPr="00CB46A8">
        <w:rPr>
          <w:rStyle w:val="11"/>
          <w:sz w:val="24"/>
          <w:szCs w:val="24"/>
        </w:rPr>
        <w:t xml:space="preserve"> Місце виконання Послуг (надалі - Об'єкт</w:t>
      </w:r>
      <w:bookmarkEnd w:id="2"/>
      <w:r w:rsidR="00CD3279">
        <w:rPr>
          <w:rStyle w:val="11"/>
          <w:sz w:val="24"/>
          <w:szCs w:val="24"/>
        </w:rPr>
        <w:t>):</w:t>
      </w:r>
      <w:r w:rsidRPr="00EF2120">
        <w:rPr>
          <w:b w:val="0"/>
          <w:sz w:val="24"/>
          <w:szCs w:val="24"/>
        </w:rPr>
        <w:t xml:space="preserve"> </w:t>
      </w:r>
      <w:r w:rsidR="00077FEF">
        <w:rPr>
          <w:b w:val="0"/>
          <w:sz w:val="24"/>
          <w:szCs w:val="24"/>
        </w:rPr>
        <w:t xml:space="preserve">м. </w:t>
      </w:r>
      <w:bookmarkStart w:id="3" w:name="_GoBack"/>
      <w:bookmarkEnd w:id="3"/>
      <w:r w:rsidR="00077FEF">
        <w:rPr>
          <w:b w:val="0"/>
          <w:sz w:val="24"/>
          <w:szCs w:val="24"/>
        </w:rPr>
        <w:t>Полтава, пров. Давидовського, 12</w:t>
      </w:r>
      <w:r w:rsidR="009A5A79" w:rsidRPr="009A5A79">
        <w:rPr>
          <w:b w:val="0"/>
          <w:sz w:val="24"/>
          <w:szCs w:val="24"/>
        </w:rPr>
        <w:t xml:space="preserve"> </w:t>
      </w:r>
      <w:r w:rsidR="001527CA" w:rsidRPr="001527CA">
        <w:rPr>
          <w:b w:val="0"/>
          <w:sz w:val="24"/>
          <w:szCs w:val="24"/>
        </w:rPr>
        <w:t xml:space="preserve">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w:t>
      </w:r>
      <w:r w:rsidRPr="00CB46A8">
        <w:rPr>
          <w:sz w:val="24"/>
          <w:szCs w:val="24"/>
        </w:rPr>
        <w:lastRenderedPageBreak/>
        <w:t>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lastRenderedPageBreak/>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lastRenderedPageBreak/>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9E083C">
              <w:rPr>
                <w:rFonts w:ascii="Times New Roman" w:hAnsi="Times New Roman" w:cs="Times New Roman"/>
                <w:lang w:val="ru-RU"/>
              </w:rPr>
              <w:t xml:space="preserve">р/р </w:t>
            </w:r>
            <w:r w:rsidRPr="009E083C">
              <w:rPr>
                <w:rFonts w:ascii="Times New Roman" w:hAnsi="Times New Roman" w:cs="Times New Roman"/>
                <w:lang w:val="en-US"/>
              </w:rPr>
              <w:t>UA</w:t>
            </w:r>
            <w:r w:rsidRPr="009E083C">
              <w:rPr>
                <w:rFonts w:ascii="Times New Roman" w:hAnsi="Times New Roman" w:cs="Times New Roman"/>
              </w:rPr>
              <w:t xml:space="preserve"> </w:t>
            </w:r>
            <w:r w:rsidR="001417FC" w:rsidRPr="009E083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10" w:rsidRDefault="003B3E10" w:rsidP="00F06D70">
      <w:r>
        <w:separator/>
      </w:r>
    </w:p>
  </w:endnote>
  <w:endnote w:type="continuationSeparator" w:id="0">
    <w:p w:rsidR="003B3E10" w:rsidRDefault="003B3E10"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10" w:rsidRDefault="003B3E10"/>
  </w:footnote>
  <w:footnote w:type="continuationSeparator" w:id="0">
    <w:p w:rsidR="003B3E10" w:rsidRDefault="003B3E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34F18"/>
    <w:rsid w:val="00077FEF"/>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2C62E5"/>
    <w:rsid w:val="002D1F3F"/>
    <w:rsid w:val="00304F34"/>
    <w:rsid w:val="00324CEF"/>
    <w:rsid w:val="00373CC3"/>
    <w:rsid w:val="00374D79"/>
    <w:rsid w:val="00375EAF"/>
    <w:rsid w:val="003A74C5"/>
    <w:rsid w:val="003B3E10"/>
    <w:rsid w:val="003D7264"/>
    <w:rsid w:val="003E2926"/>
    <w:rsid w:val="00406419"/>
    <w:rsid w:val="00426D4E"/>
    <w:rsid w:val="004662C6"/>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A7FA1"/>
    <w:rsid w:val="006B1333"/>
    <w:rsid w:val="006D21EA"/>
    <w:rsid w:val="006D267C"/>
    <w:rsid w:val="006D7659"/>
    <w:rsid w:val="006D7A22"/>
    <w:rsid w:val="006F10D6"/>
    <w:rsid w:val="00710980"/>
    <w:rsid w:val="007304D5"/>
    <w:rsid w:val="0074108D"/>
    <w:rsid w:val="007864BD"/>
    <w:rsid w:val="007B7088"/>
    <w:rsid w:val="007E087B"/>
    <w:rsid w:val="007E3D4A"/>
    <w:rsid w:val="007E441D"/>
    <w:rsid w:val="007E694E"/>
    <w:rsid w:val="00801D60"/>
    <w:rsid w:val="0081011E"/>
    <w:rsid w:val="0083502E"/>
    <w:rsid w:val="00856FAE"/>
    <w:rsid w:val="00872D63"/>
    <w:rsid w:val="008A403A"/>
    <w:rsid w:val="00900113"/>
    <w:rsid w:val="00901B7C"/>
    <w:rsid w:val="009343EF"/>
    <w:rsid w:val="00937CFA"/>
    <w:rsid w:val="00937DAA"/>
    <w:rsid w:val="00947E62"/>
    <w:rsid w:val="00971C48"/>
    <w:rsid w:val="009A5A79"/>
    <w:rsid w:val="009A7377"/>
    <w:rsid w:val="009B10F0"/>
    <w:rsid w:val="009D7983"/>
    <w:rsid w:val="009E083C"/>
    <w:rsid w:val="009F1CDE"/>
    <w:rsid w:val="00A31C87"/>
    <w:rsid w:val="00AA51AC"/>
    <w:rsid w:val="00AB7234"/>
    <w:rsid w:val="00AD0BA6"/>
    <w:rsid w:val="00AD4009"/>
    <w:rsid w:val="00AF3A80"/>
    <w:rsid w:val="00B23043"/>
    <w:rsid w:val="00B25AE4"/>
    <w:rsid w:val="00B34F51"/>
    <w:rsid w:val="00B964B5"/>
    <w:rsid w:val="00BD7E41"/>
    <w:rsid w:val="00C157F2"/>
    <w:rsid w:val="00C26288"/>
    <w:rsid w:val="00C34D12"/>
    <w:rsid w:val="00C85588"/>
    <w:rsid w:val="00CB46A8"/>
    <w:rsid w:val="00CB66B4"/>
    <w:rsid w:val="00CB786B"/>
    <w:rsid w:val="00CD3279"/>
    <w:rsid w:val="00CE213A"/>
    <w:rsid w:val="00CE3065"/>
    <w:rsid w:val="00D05CB4"/>
    <w:rsid w:val="00D252DE"/>
    <w:rsid w:val="00D35977"/>
    <w:rsid w:val="00D5307C"/>
    <w:rsid w:val="00D75019"/>
    <w:rsid w:val="00D93A1A"/>
    <w:rsid w:val="00D96808"/>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435D"/>
    <w:rsid w:val="00FF3049"/>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9A83"/>
  <w15:docId w15:val="{7845EE4B-0794-4197-A162-B8402175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D53D-1A65-4AFC-9527-04247FF2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4082</Words>
  <Characters>23270</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17</cp:revision>
  <cp:lastPrinted>2021-05-19T13:22:00Z</cp:lastPrinted>
  <dcterms:created xsi:type="dcterms:W3CDTF">2022-08-03T07:51:00Z</dcterms:created>
  <dcterms:modified xsi:type="dcterms:W3CDTF">2022-09-02T06:03:00Z</dcterms:modified>
</cp:coreProperties>
</file>