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C551BB" w:rsidRPr="00C551BB">
        <w:rPr>
          <w:b/>
          <w:i/>
          <w:iCs/>
          <w:u w:val="single"/>
          <w:lang w:val="uk-UA"/>
        </w:rPr>
        <w:t>48810000-9</w:t>
      </w:r>
      <w:r w:rsidR="00C551BB" w:rsidRPr="00C551BB">
        <w:rPr>
          <w:b/>
          <w:i/>
          <w:iCs/>
          <w:u w:val="single"/>
          <w:lang w:val="uk-UA"/>
        </w:rPr>
        <w:tab/>
        <w:t>Інформаційні системи Єдиний закупівельний словник ДК 021:2015 (Послуги, а саме: доступ до онлайн сервісів з правом користування програмною продукцією – інформаційно-комунікаційною системою (Медична інформаційна система – МІС))</w:t>
      </w:r>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43119C" w:rsidRPr="00651476" w:rsidRDefault="0043119C" w:rsidP="0043119C">
      <w:pPr>
        <w:spacing w:after="0" w:line="240" w:lineRule="auto"/>
        <w:jc w:val="both"/>
        <w:rPr>
          <w:i/>
          <w:sz w:val="20"/>
          <w:lang w:val="uk-UA" w:eastAsia="zh-CN"/>
        </w:rPr>
      </w:pPr>
      <w:r w:rsidRPr="008E208E">
        <w:rPr>
          <w:i/>
          <w:sz w:val="20"/>
          <w:lang w:val="uk-UA" w:eastAsia="zh-CN"/>
        </w:rPr>
        <w:t>(</w:t>
      </w:r>
      <w:r w:rsidRPr="0032254E">
        <w:rPr>
          <w:i/>
          <w:sz w:val="20"/>
          <w:lang w:val="uk-UA" w:eastAsia="zh-CN"/>
        </w:rPr>
        <w:t xml:space="preserve">Далі учасник заповнює нижченаведені таблиці з урахуванням місця постачання (за  </w:t>
      </w:r>
      <w:proofErr w:type="spellStart"/>
      <w:r w:rsidRPr="0032254E">
        <w:rPr>
          <w:i/>
          <w:sz w:val="20"/>
          <w:lang w:val="uk-UA" w:eastAsia="zh-CN"/>
        </w:rPr>
        <w:t>адресою</w:t>
      </w:r>
      <w:proofErr w:type="spellEnd"/>
      <w:r w:rsidRPr="0032254E">
        <w:rPr>
          <w:i/>
          <w:sz w:val="20"/>
          <w:lang w:val="uk-UA" w:eastAsia="zh-CN"/>
        </w:rPr>
        <w:t xml:space="preserve"> підрозділів)</w:t>
      </w:r>
      <w:r w:rsidRPr="008E208E">
        <w:rPr>
          <w:i/>
          <w:sz w:val="20"/>
          <w:lang w:val="uk-UA" w:eastAsia="zh-CN"/>
        </w:rPr>
        <w:t xml:space="preserve"> </w:t>
      </w:r>
      <w:r>
        <w:rPr>
          <w:i/>
          <w:sz w:val="20"/>
          <w:lang w:val="uk-UA" w:eastAsia="zh-CN"/>
        </w:rPr>
        <w:t xml:space="preserve">відповідно до  </w:t>
      </w:r>
      <w:r w:rsidRPr="008E208E">
        <w:rPr>
          <w:i/>
          <w:sz w:val="20"/>
          <w:lang w:val="uk-UA" w:eastAsia="zh-CN"/>
        </w:rPr>
        <w:t xml:space="preserve">Додатку </w:t>
      </w:r>
      <w:r>
        <w:rPr>
          <w:i/>
          <w:sz w:val="20"/>
          <w:lang w:val="uk-UA" w:eastAsia="zh-CN"/>
        </w:rPr>
        <w:t>2</w:t>
      </w:r>
      <w:r w:rsidRPr="008E208E">
        <w:rPr>
          <w:i/>
          <w:sz w:val="20"/>
          <w:lang w:val="uk-UA" w:eastAsia="zh-CN"/>
        </w:rPr>
        <w:t xml:space="preserve">)  </w:t>
      </w:r>
    </w:p>
    <w:p w:rsidR="0043119C" w:rsidRDefault="0043119C" w:rsidP="0043119C">
      <w:pPr>
        <w:spacing w:after="0" w:line="240" w:lineRule="auto"/>
        <w:jc w:val="right"/>
        <w:rPr>
          <w:i/>
          <w:sz w:val="20"/>
          <w:lang w:val="uk-UA" w:eastAsia="zh-CN"/>
        </w:rPr>
      </w:pPr>
      <w:r>
        <w:rPr>
          <w:i/>
          <w:sz w:val="20"/>
          <w:lang w:val="uk-UA" w:eastAsia="zh-CN"/>
        </w:rPr>
        <w:t>Таблиця 1</w:t>
      </w:r>
    </w:p>
    <w:p w:rsidR="0043119C" w:rsidRDefault="0043119C" w:rsidP="0043119C">
      <w:pPr>
        <w:spacing w:after="0" w:line="240" w:lineRule="auto"/>
        <w:jc w:val="right"/>
        <w:rPr>
          <w:i/>
          <w:sz w:val="20"/>
          <w:lang w:val="uk-UA" w:eastAsia="zh-CN"/>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43"/>
        <w:gridCol w:w="3275"/>
        <w:gridCol w:w="1265"/>
        <w:gridCol w:w="9"/>
        <w:gridCol w:w="842"/>
        <w:gridCol w:w="9"/>
        <w:gridCol w:w="850"/>
        <w:gridCol w:w="841"/>
        <w:gridCol w:w="15"/>
        <w:gridCol w:w="1275"/>
      </w:tblGrid>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w:t>
            </w:r>
          </w:p>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п/п</w:t>
            </w:r>
          </w:p>
        </w:tc>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Найменування згідно з тендерною документацією/</w:t>
            </w:r>
          </w:p>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Торгова назва згідно з документами учасника</w:t>
            </w:r>
          </w:p>
        </w:tc>
        <w:tc>
          <w:tcPr>
            <w:tcW w:w="12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Од. виміру</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К-сть</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ind w:left="-103" w:right="-87"/>
              <w:jc w:val="center"/>
              <w:rPr>
                <w:b/>
                <w:color w:val="000000"/>
                <w:sz w:val="18"/>
                <w:szCs w:val="18"/>
                <w:lang w:val="uk-UA" w:eastAsia="uk-UA"/>
              </w:rPr>
            </w:pPr>
            <w:r w:rsidRPr="00C551BB">
              <w:rPr>
                <w:b/>
                <w:color w:val="000000"/>
                <w:sz w:val="18"/>
                <w:szCs w:val="18"/>
                <w:lang w:val="uk-UA" w:eastAsia="uk-UA"/>
              </w:rPr>
              <w:t>Ціна за одиницю без ПДВ, грн.</w:t>
            </w:r>
          </w:p>
        </w:tc>
        <w:tc>
          <w:tcPr>
            <w:tcW w:w="8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ПДВ, %</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Загальна вартість без ПДВ, грн.</w:t>
            </w:r>
          </w:p>
        </w:tc>
      </w:tr>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color w:val="000000"/>
                <w:sz w:val="18"/>
                <w:szCs w:val="18"/>
                <w:lang w:val="uk-UA" w:eastAsia="uk-UA"/>
              </w:rPr>
            </w:pPr>
            <w:r w:rsidRPr="00C551BB">
              <w:rPr>
                <w:color w:val="000000"/>
                <w:sz w:val="18"/>
                <w:szCs w:val="18"/>
                <w:lang w:val="uk-UA" w:eastAsia="uk-UA"/>
              </w:rPr>
              <w:t>1</w:t>
            </w:r>
          </w:p>
        </w:tc>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2</w:t>
            </w:r>
          </w:p>
        </w:tc>
        <w:tc>
          <w:tcPr>
            <w:tcW w:w="12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3</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4</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5</w:t>
            </w:r>
          </w:p>
        </w:tc>
        <w:tc>
          <w:tcPr>
            <w:tcW w:w="8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6</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7</w:t>
            </w:r>
          </w:p>
        </w:tc>
      </w:tr>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color w:val="000000"/>
                <w:sz w:val="18"/>
                <w:szCs w:val="18"/>
                <w:lang w:val="uk-UA" w:eastAsia="uk-UA"/>
              </w:rPr>
            </w:pPr>
          </w:p>
        </w:tc>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c>
          <w:tcPr>
            <w:tcW w:w="12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c>
          <w:tcPr>
            <w:tcW w:w="8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r>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right"/>
              <w:rPr>
                <w:b/>
                <w:sz w:val="18"/>
                <w:szCs w:val="18"/>
                <w:lang w:val="uk-UA" w:eastAsia="uk-UA"/>
              </w:rPr>
            </w:pPr>
          </w:p>
        </w:tc>
        <w:tc>
          <w:tcPr>
            <w:tcW w:w="538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right"/>
              <w:rPr>
                <w:b/>
                <w:sz w:val="18"/>
                <w:szCs w:val="18"/>
                <w:lang w:val="uk-UA" w:eastAsia="uk-UA"/>
              </w:rPr>
            </w:pPr>
            <w:r w:rsidRPr="00C551BB">
              <w:rPr>
                <w:b/>
                <w:sz w:val="18"/>
                <w:szCs w:val="18"/>
                <w:lang w:val="uk-UA" w:eastAsia="uk-UA"/>
              </w:rPr>
              <w:t>Усього</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c>
          <w:tcPr>
            <w:tcW w:w="17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х</w:t>
            </w:r>
          </w:p>
        </w:tc>
        <w:tc>
          <w:tcPr>
            <w:tcW w:w="12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r>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color w:val="000000"/>
                <w:sz w:val="18"/>
                <w:szCs w:val="18"/>
                <w:lang w:val="uk-UA" w:eastAsia="uk-UA"/>
              </w:rPr>
            </w:pPr>
          </w:p>
        </w:tc>
        <w:tc>
          <w:tcPr>
            <w:tcW w:w="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right"/>
              <w:rPr>
                <w:b/>
                <w:sz w:val="18"/>
                <w:szCs w:val="18"/>
                <w:lang w:val="uk-UA" w:eastAsia="uk-UA"/>
              </w:rPr>
            </w:pPr>
          </w:p>
        </w:tc>
        <w:tc>
          <w:tcPr>
            <w:tcW w:w="7106"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right"/>
              <w:rPr>
                <w:sz w:val="18"/>
                <w:szCs w:val="18"/>
                <w:lang w:val="uk-UA" w:eastAsia="uk-UA"/>
              </w:rPr>
            </w:pPr>
            <w:r w:rsidRPr="00C551BB">
              <w:rPr>
                <w:b/>
                <w:sz w:val="18"/>
                <w:szCs w:val="18"/>
                <w:lang w:val="uk-UA" w:eastAsia="uk-UA"/>
              </w:rPr>
              <w:t>Разом</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r>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color w:val="000000"/>
                <w:sz w:val="18"/>
                <w:szCs w:val="18"/>
                <w:lang w:val="uk-UA" w:eastAsia="uk-UA"/>
              </w:rPr>
            </w:pPr>
          </w:p>
        </w:tc>
        <w:tc>
          <w:tcPr>
            <w:tcW w:w="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right"/>
              <w:rPr>
                <w:b/>
                <w:sz w:val="18"/>
                <w:szCs w:val="18"/>
                <w:lang w:val="uk-UA" w:eastAsia="uk-UA"/>
              </w:rPr>
            </w:pPr>
          </w:p>
        </w:tc>
        <w:tc>
          <w:tcPr>
            <w:tcW w:w="7106"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right"/>
              <w:rPr>
                <w:sz w:val="18"/>
                <w:szCs w:val="18"/>
                <w:lang w:val="uk-UA" w:eastAsia="uk-UA"/>
              </w:rPr>
            </w:pPr>
            <w:r w:rsidRPr="00C551BB">
              <w:rPr>
                <w:b/>
                <w:sz w:val="18"/>
                <w:szCs w:val="18"/>
                <w:lang w:val="uk-UA" w:eastAsia="uk-UA"/>
              </w:rPr>
              <w:t>ПДВ</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r>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color w:val="000000"/>
                <w:sz w:val="18"/>
                <w:szCs w:val="18"/>
                <w:lang w:val="uk-UA" w:eastAsia="uk-UA"/>
              </w:rPr>
            </w:pPr>
          </w:p>
        </w:tc>
        <w:tc>
          <w:tcPr>
            <w:tcW w:w="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right"/>
              <w:rPr>
                <w:b/>
                <w:sz w:val="18"/>
                <w:szCs w:val="18"/>
                <w:lang w:val="uk-UA" w:eastAsia="uk-UA"/>
              </w:rPr>
            </w:pPr>
          </w:p>
        </w:tc>
        <w:tc>
          <w:tcPr>
            <w:tcW w:w="7106"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right"/>
              <w:rPr>
                <w:sz w:val="18"/>
                <w:szCs w:val="18"/>
                <w:lang w:val="uk-UA" w:eastAsia="uk-UA"/>
              </w:rPr>
            </w:pPr>
            <w:r w:rsidRPr="00C551BB">
              <w:rPr>
                <w:b/>
                <w:sz w:val="18"/>
                <w:szCs w:val="18"/>
                <w:lang w:val="uk-UA" w:eastAsia="uk-UA"/>
              </w:rPr>
              <w:t>Разом з ПДВ</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C551BB">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r>
    </w:tbl>
    <w:p w:rsidR="0043119C" w:rsidRDefault="0043119C" w:rsidP="0043119C">
      <w:pPr>
        <w:spacing w:after="0" w:line="240" w:lineRule="auto"/>
        <w:jc w:val="right"/>
        <w:rPr>
          <w:i/>
          <w:sz w:val="20"/>
          <w:lang w:val="uk-UA" w:eastAsia="zh-CN"/>
        </w:rPr>
      </w:pPr>
    </w:p>
    <w:p w:rsidR="0043119C" w:rsidRDefault="0043119C" w:rsidP="0043119C">
      <w:pPr>
        <w:spacing w:after="0" w:line="240" w:lineRule="auto"/>
        <w:jc w:val="right"/>
        <w:rPr>
          <w:i/>
          <w:sz w:val="20"/>
          <w:lang w:val="uk-UA" w:eastAsia="zh-CN"/>
        </w:rPr>
      </w:pPr>
      <w:r>
        <w:rPr>
          <w:i/>
          <w:sz w:val="20"/>
          <w:lang w:val="uk-UA" w:eastAsia="zh-CN"/>
        </w:rPr>
        <w:t>Таблиця 2</w:t>
      </w:r>
    </w:p>
    <w:p w:rsidR="006F2CDB" w:rsidRDefault="006F2CDB" w:rsidP="00150B7D">
      <w:pPr>
        <w:spacing w:after="0" w:line="240" w:lineRule="auto"/>
        <w:jc w:val="right"/>
        <w:rPr>
          <w:i/>
          <w:sz w:val="20"/>
          <w:lang w:val="uk-UA" w:eastAsia="zh-CN"/>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43"/>
        <w:gridCol w:w="3275"/>
        <w:gridCol w:w="1265"/>
        <w:gridCol w:w="9"/>
        <w:gridCol w:w="842"/>
        <w:gridCol w:w="9"/>
        <w:gridCol w:w="850"/>
        <w:gridCol w:w="841"/>
        <w:gridCol w:w="15"/>
        <w:gridCol w:w="1275"/>
      </w:tblGrid>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w:t>
            </w:r>
          </w:p>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п/п</w:t>
            </w:r>
          </w:p>
        </w:tc>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Найменування згідно з тендерною документацією/</w:t>
            </w:r>
          </w:p>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Торгова назва згідно з документами учасника</w:t>
            </w:r>
          </w:p>
        </w:tc>
        <w:tc>
          <w:tcPr>
            <w:tcW w:w="12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Од. виміру</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К-сть</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ind w:left="-103" w:right="-87"/>
              <w:jc w:val="center"/>
              <w:rPr>
                <w:b/>
                <w:color w:val="000000"/>
                <w:sz w:val="18"/>
                <w:szCs w:val="18"/>
                <w:lang w:val="uk-UA" w:eastAsia="uk-UA"/>
              </w:rPr>
            </w:pPr>
            <w:r w:rsidRPr="00C551BB">
              <w:rPr>
                <w:b/>
                <w:color w:val="000000"/>
                <w:sz w:val="18"/>
                <w:szCs w:val="18"/>
                <w:lang w:val="uk-UA" w:eastAsia="uk-UA"/>
              </w:rPr>
              <w:t>Ціна за одиницю без ПДВ, грн.</w:t>
            </w:r>
          </w:p>
        </w:tc>
        <w:tc>
          <w:tcPr>
            <w:tcW w:w="8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ПДВ, %</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b/>
                <w:color w:val="000000"/>
                <w:sz w:val="18"/>
                <w:szCs w:val="18"/>
                <w:lang w:val="uk-UA" w:eastAsia="uk-UA"/>
              </w:rPr>
            </w:pPr>
            <w:r w:rsidRPr="00C551BB">
              <w:rPr>
                <w:b/>
                <w:color w:val="000000"/>
                <w:sz w:val="18"/>
                <w:szCs w:val="18"/>
                <w:lang w:val="uk-UA" w:eastAsia="uk-UA"/>
              </w:rPr>
              <w:t>Загальна вартість без ПДВ, грн.</w:t>
            </w:r>
          </w:p>
        </w:tc>
      </w:tr>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color w:val="000000"/>
                <w:sz w:val="18"/>
                <w:szCs w:val="18"/>
                <w:lang w:val="uk-UA" w:eastAsia="uk-UA"/>
              </w:rPr>
            </w:pPr>
            <w:r w:rsidRPr="00C551BB">
              <w:rPr>
                <w:color w:val="000000"/>
                <w:sz w:val="18"/>
                <w:szCs w:val="18"/>
                <w:lang w:val="uk-UA" w:eastAsia="uk-UA"/>
              </w:rPr>
              <w:t>1</w:t>
            </w:r>
          </w:p>
        </w:tc>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2</w:t>
            </w:r>
          </w:p>
        </w:tc>
        <w:tc>
          <w:tcPr>
            <w:tcW w:w="12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3</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4</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5</w:t>
            </w:r>
          </w:p>
        </w:tc>
        <w:tc>
          <w:tcPr>
            <w:tcW w:w="8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6</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7</w:t>
            </w:r>
          </w:p>
        </w:tc>
      </w:tr>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color w:val="000000"/>
                <w:sz w:val="18"/>
                <w:szCs w:val="18"/>
                <w:lang w:val="uk-UA" w:eastAsia="uk-UA"/>
              </w:rPr>
            </w:pPr>
          </w:p>
        </w:tc>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c>
          <w:tcPr>
            <w:tcW w:w="12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c>
          <w:tcPr>
            <w:tcW w:w="8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r>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right"/>
              <w:rPr>
                <w:b/>
                <w:sz w:val="18"/>
                <w:szCs w:val="18"/>
                <w:lang w:val="uk-UA" w:eastAsia="uk-UA"/>
              </w:rPr>
            </w:pPr>
          </w:p>
        </w:tc>
        <w:tc>
          <w:tcPr>
            <w:tcW w:w="538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right"/>
              <w:rPr>
                <w:b/>
                <w:sz w:val="18"/>
                <w:szCs w:val="18"/>
                <w:lang w:val="uk-UA" w:eastAsia="uk-UA"/>
              </w:rPr>
            </w:pPr>
            <w:r w:rsidRPr="00C551BB">
              <w:rPr>
                <w:b/>
                <w:sz w:val="18"/>
                <w:szCs w:val="18"/>
                <w:lang w:val="uk-UA" w:eastAsia="uk-UA"/>
              </w:rPr>
              <w:t>Усього</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c>
          <w:tcPr>
            <w:tcW w:w="17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r w:rsidRPr="00C551BB">
              <w:rPr>
                <w:sz w:val="18"/>
                <w:szCs w:val="18"/>
                <w:lang w:val="uk-UA" w:eastAsia="uk-UA"/>
              </w:rPr>
              <w:t>х</w:t>
            </w:r>
          </w:p>
        </w:tc>
        <w:tc>
          <w:tcPr>
            <w:tcW w:w="12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r>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color w:val="000000"/>
                <w:sz w:val="18"/>
                <w:szCs w:val="18"/>
                <w:lang w:val="uk-UA" w:eastAsia="uk-UA"/>
              </w:rPr>
            </w:pPr>
          </w:p>
        </w:tc>
        <w:tc>
          <w:tcPr>
            <w:tcW w:w="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right"/>
              <w:rPr>
                <w:b/>
                <w:sz w:val="18"/>
                <w:szCs w:val="18"/>
                <w:lang w:val="uk-UA" w:eastAsia="uk-UA"/>
              </w:rPr>
            </w:pPr>
          </w:p>
        </w:tc>
        <w:tc>
          <w:tcPr>
            <w:tcW w:w="7106"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right"/>
              <w:rPr>
                <w:sz w:val="18"/>
                <w:szCs w:val="18"/>
                <w:lang w:val="uk-UA" w:eastAsia="uk-UA"/>
              </w:rPr>
            </w:pPr>
            <w:r w:rsidRPr="00C551BB">
              <w:rPr>
                <w:b/>
                <w:sz w:val="18"/>
                <w:szCs w:val="18"/>
                <w:lang w:val="uk-UA" w:eastAsia="uk-UA"/>
              </w:rPr>
              <w:t>Разом</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r>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color w:val="000000"/>
                <w:sz w:val="18"/>
                <w:szCs w:val="18"/>
                <w:lang w:val="uk-UA" w:eastAsia="uk-UA"/>
              </w:rPr>
            </w:pPr>
          </w:p>
        </w:tc>
        <w:tc>
          <w:tcPr>
            <w:tcW w:w="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right"/>
              <w:rPr>
                <w:b/>
                <w:sz w:val="18"/>
                <w:szCs w:val="18"/>
                <w:lang w:val="uk-UA" w:eastAsia="uk-UA"/>
              </w:rPr>
            </w:pPr>
          </w:p>
        </w:tc>
        <w:tc>
          <w:tcPr>
            <w:tcW w:w="7106"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right"/>
              <w:rPr>
                <w:sz w:val="18"/>
                <w:szCs w:val="18"/>
                <w:lang w:val="uk-UA" w:eastAsia="uk-UA"/>
              </w:rPr>
            </w:pPr>
            <w:r w:rsidRPr="00C551BB">
              <w:rPr>
                <w:b/>
                <w:sz w:val="18"/>
                <w:szCs w:val="18"/>
                <w:lang w:val="uk-UA" w:eastAsia="uk-UA"/>
              </w:rPr>
              <w:t>ПДВ</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r>
      <w:tr w:rsidR="00C551BB" w:rsidRPr="00C551BB" w:rsidTr="00FA76BA">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color w:val="000000"/>
                <w:sz w:val="18"/>
                <w:szCs w:val="18"/>
                <w:lang w:val="uk-UA" w:eastAsia="uk-UA"/>
              </w:rPr>
            </w:pPr>
          </w:p>
        </w:tc>
        <w:tc>
          <w:tcPr>
            <w:tcW w:w="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right"/>
              <w:rPr>
                <w:b/>
                <w:sz w:val="18"/>
                <w:szCs w:val="18"/>
                <w:lang w:val="uk-UA" w:eastAsia="uk-UA"/>
              </w:rPr>
            </w:pPr>
          </w:p>
        </w:tc>
        <w:tc>
          <w:tcPr>
            <w:tcW w:w="7106"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right"/>
              <w:rPr>
                <w:sz w:val="18"/>
                <w:szCs w:val="18"/>
                <w:lang w:val="uk-UA" w:eastAsia="uk-UA"/>
              </w:rPr>
            </w:pPr>
            <w:r w:rsidRPr="00C551BB">
              <w:rPr>
                <w:b/>
                <w:sz w:val="18"/>
                <w:szCs w:val="18"/>
                <w:lang w:val="uk-UA" w:eastAsia="uk-UA"/>
              </w:rPr>
              <w:t>Разом з ПДВ</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C551BB" w:rsidRPr="00C551BB" w:rsidRDefault="00C551BB" w:rsidP="00FA76BA">
            <w:pPr>
              <w:pBdr>
                <w:top w:val="none" w:sz="0" w:space="0" w:color="000000"/>
                <w:left w:val="none" w:sz="0" w:space="0" w:color="000000"/>
                <w:bottom w:val="none" w:sz="0" w:space="0" w:color="000000"/>
                <w:right w:val="none" w:sz="0" w:space="0" w:color="000000"/>
              </w:pBdr>
              <w:suppressAutoHyphens w:val="0"/>
              <w:spacing w:after="0" w:line="240" w:lineRule="auto"/>
              <w:jc w:val="center"/>
              <w:rPr>
                <w:sz w:val="18"/>
                <w:szCs w:val="18"/>
                <w:lang w:val="uk-UA" w:eastAsia="uk-UA"/>
              </w:rPr>
            </w:pPr>
          </w:p>
        </w:tc>
      </w:tr>
    </w:tbl>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lastRenderedPageBreak/>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FD5753">
        <w:rPr>
          <w:lang w:val="uk-UA"/>
        </w:rPr>
        <w:t>4</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rsidTr="00FD5753">
        <w:trPr>
          <w:trHeight w:hRule="exact" w:val="827"/>
        </w:trPr>
        <w:tc>
          <w:tcPr>
            <w:tcW w:w="4240"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61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499"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FD5753" w:rsidRPr="003204C3" w:rsidRDefault="00FD5753" w:rsidP="00FD5753">
      <w:pPr>
        <w:spacing w:after="0" w:line="240" w:lineRule="auto"/>
        <w:jc w:val="both"/>
        <w:rPr>
          <w:sz w:val="20"/>
          <w:szCs w:val="20"/>
          <w:lang w:val="uk-UA"/>
        </w:rPr>
      </w:pPr>
      <w:r w:rsidRPr="003204C3">
        <w:rPr>
          <w:i/>
          <w:lang w:val="uk-UA"/>
        </w:rPr>
        <w:t>(П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FD5753" w:rsidRPr="003204C3" w:rsidRDefault="00FD5753" w:rsidP="00FD5753">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FD5753" w:rsidRPr="003204C3" w:rsidRDefault="00FD5753" w:rsidP="00FD5753">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витрати, пов‘язані з постачанням устаткування.</w:t>
      </w:r>
    </w:p>
    <w:p w:rsidR="00FD5753" w:rsidRPr="003204C3" w:rsidRDefault="00FD5753" w:rsidP="00FD5753">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FD5753" w:rsidRPr="00002602" w:rsidRDefault="00FD5753" w:rsidP="00FD5753">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FD5753" w:rsidRPr="00936C0E" w:rsidRDefault="00FD5753" w:rsidP="00FD5753">
      <w:pPr>
        <w:spacing w:after="0" w:line="240" w:lineRule="auto"/>
        <w:ind w:firstLine="737"/>
        <w:jc w:val="both"/>
        <w:rPr>
          <w:i/>
          <w:sz w:val="20"/>
          <w:szCs w:val="20"/>
          <w:lang w:val="uk-UA" w:eastAsia="zh-CN"/>
        </w:rPr>
      </w:pPr>
      <w:r w:rsidRPr="00936C0E">
        <w:rPr>
          <w:i/>
          <w:sz w:val="20"/>
          <w:szCs w:val="20"/>
          <w:lang w:val="uk-UA" w:eastAsia="zh-CN"/>
        </w:rPr>
        <w:t>Одночасно з поданням документів на підтвердження відсутності підстав, визначених пункт</w:t>
      </w:r>
      <w:r>
        <w:rPr>
          <w:i/>
          <w:sz w:val="20"/>
          <w:szCs w:val="20"/>
          <w:lang w:val="uk-UA" w:eastAsia="zh-CN"/>
        </w:rPr>
        <w:t>ом</w:t>
      </w:r>
      <w:r w:rsidRPr="00936C0E">
        <w:rPr>
          <w:i/>
          <w:sz w:val="20"/>
          <w:szCs w:val="20"/>
          <w:lang w:val="uk-UA" w:eastAsia="zh-CN"/>
        </w:rPr>
        <w:t xml:space="preserve"> 4</w:t>
      </w:r>
      <w:r>
        <w:rPr>
          <w:i/>
          <w:sz w:val="20"/>
          <w:szCs w:val="20"/>
          <w:lang w:val="uk-UA" w:eastAsia="zh-CN"/>
        </w:rPr>
        <w:t>7</w:t>
      </w:r>
      <w:r w:rsidRPr="00936C0E">
        <w:rPr>
          <w:i/>
          <w:sz w:val="20"/>
          <w:szCs w:val="20"/>
          <w:lang w:val="uk-UA" w:eastAsia="zh-CN"/>
        </w:rPr>
        <w:t xml:space="preserve">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FD5753" w:rsidRPr="00936C0E" w:rsidRDefault="00FD5753" w:rsidP="00FD5753">
      <w:pPr>
        <w:spacing w:after="0" w:line="240" w:lineRule="auto"/>
        <w:ind w:firstLine="737"/>
        <w:jc w:val="both"/>
        <w:rPr>
          <w:i/>
          <w:sz w:val="20"/>
          <w:szCs w:val="20"/>
          <w:lang w:val="uk-UA" w:eastAsia="zh-CN"/>
        </w:rPr>
      </w:pPr>
      <w:r w:rsidRPr="00936C0E">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D5753" w:rsidRPr="00936C0E" w:rsidRDefault="00FD5753" w:rsidP="00FD5753">
      <w:pPr>
        <w:spacing w:after="0" w:line="240" w:lineRule="auto"/>
        <w:ind w:firstLine="737"/>
        <w:jc w:val="both"/>
        <w:rPr>
          <w:i/>
          <w:sz w:val="20"/>
          <w:szCs w:val="20"/>
          <w:lang w:val="uk-UA" w:eastAsia="zh-CN"/>
        </w:rPr>
      </w:pPr>
      <w:r w:rsidRPr="00936C0E">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FD5753" w:rsidRPr="003204C3" w:rsidRDefault="00FD5753" w:rsidP="00FD5753">
      <w:pPr>
        <w:spacing w:after="0" w:line="240" w:lineRule="auto"/>
        <w:jc w:val="both"/>
        <w:rPr>
          <w:sz w:val="20"/>
          <w:szCs w:val="20"/>
          <w:lang w:val="uk-UA"/>
        </w:rPr>
      </w:pPr>
    </w:p>
    <w:p w:rsidR="002943B4" w:rsidRPr="00002602" w:rsidRDefault="002943B4" w:rsidP="00FD5753">
      <w:pPr>
        <w:spacing w:after="0" w:line="240" w:lineRule="auto"/>
        <w:jc w:val="both"/>
        <w:rPr>
          <w:i/>
          <w:sz w:val="20"/>
          <w:szCs w:val="20"/>
          <w:lang w:val="uk-UA" w:eastAsia="zh-CN"/>
        </w:rPr>
      </w:pPr>
      <w:bookmarkStart w:id="0" w:name="_GoBack"/>
      <w:bookmarkEnd w:id="0"/>
    </w:p>
    <w:sectPr w:rsidR="002943B4"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FD5753">
          <w:rPr>
            <w:noProof/>
          </w:rPr>
          <w:t>1</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10028"/>
    <w:rsid w:val="00147D56"/>
    <w:rsid w:val="00150B7D"/>
    <w:rsid w:val="0015455A"/>
    <w:rsid w:val="00156C8B"/>
    <w:rsid w:val="00171086"/>
    <w:rsid w:val="00180F27"/>
    <w:rsid w:val="001A04E0"/>
    <w:rsid w:val="001B414F"/>
    <w:rsid w:val="001B524F"/>
    <w:rsid w:val="001B585F"/>
    <w:rsid w:val="001C2079"/>
    <w:rsid w:val="001D557D"/>
    <w:rsid w:val="001D6795"/>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3119C"/>
    <w:rsid w:val="00445019"/>
    <w:rsid w:val="00460421"/>
    <w:rsid w:val="00482B02"/>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02E3"/>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23F20"/>
    <w:rsid w:val="00B3463A"/>
    <w:rsid w:val="00B4016F"/>
    <w:rsid w:val="00B66441"/>
    <w:rsid w:val="00B83686"/>
    <w:rsid w:val="00B87EA3"/>
    <w:rsid w:val="00B95807"/>
    <w:rsid w:val="00B96F78"/>
    <w:rsid w:val="00C0254F"/>
    <w:rsid w:val="00C05F23"/>
    <w:rsid w:val="00C14AC8"/>
    <w:rsid w:val="00C24CF1"/>
    <w:rsid w:val="00C551BB"/>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5753"/>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C53DDF"/>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3540</Words>
  <Characters>2019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19</cp:revision>
  <cp:lastPrinted>2020-02-14T13:50:00Z</cp:lastPrinted>
  <dcterms:created xsi:type="dcterms:W3CDTF">2022-10-19T09:06:00Z</dcterms:created>
  <dcterms:modified xsi:type="dcterms:W3CDTF">2024-03-20T09:25:00Z</dcterms:modified>
</cp:coreProperties>
</file>