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6B3AC4">
            <w:pPr>
              <w:spacing w:before="20"/>
              <w:ind w:left="312" w:right="-108"/>
              <w:rPr>
                <w:lang w:eastAsia="en-US"/>
              </w:rPr>
            </w:pPr>
            <w:r w:rsidRPr="00A45319">
              <w:rPr>
                <w:bCs/>
                <w:noProof/>
                <w:lang w:eastAsia="en-US"/>
              </w:rPr>
              <w:t>від “</w:t>
            </w:r>
            <w:r w:rsidR="006B3AC4">
              <w:rPr>
                <w:bCs/>
                <w:noProof/>
                <w:lang w:val="ru-RU" w:eastAsia="en-US"/>
              </w:rPr>
              <w:t xml:space="preserve">  15</w:t>
            </w:r>
            <w:r w:rsidR="00D77DD5">
              <w:rPr>
                <w:bCs/>
                <w:noProof/>
                <w:lang w:eastAsia="en-US"/>
              </w:rPr>
              <w:t>” березня</w:t>
            </w:r>
            <w:r w:rsidR="00F41D41">
              <w:rPr>
                <w:bCs/>
                <w:noProof/>
                <w:lang w:eastAsia="en-US"/>
              </w:rPr>
              <w:t xml:space="preserve">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D162FC">
              <w:rPr>
                <w:bCs/>
                <w:noProof/>
                <w:lang w:eastAsia="en-US"/>
              </w:rPr>
              <w:t xml:space="preserve"> </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r w:rsidR="006B3AC4">
              <w:rPr>
                <w:sz w:val="24"/>
                <w:szCs w:val="24"/>
              </w:rPr>
              <w:t>НОВА РЕДАКЦІЯ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F25F97" w:rsidRPr="00F25F97" w:rsidRDefault="00DD5B24" w:rsidP="00F25F97">
      <w:pPr>
        <w:ind w:firstLine="360"/>
        <w:jc w:val="center"/>
        <w:rPr>
          <w:b/>
          <w:color w:val="33333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F25F97" w:rsidRPr="001A48A4">
        <w:rPr>
          <w:b/>
          <w:sz w:val="28"/>
          <w:szCs w:val="28"/>
        </w:rPr>
        <w:t xml:space="preserve">31210000-1: Електрична апаратура для </w:t>
      </w:r>
      <w:proofErr w:type="spellStart"/>
      <w:r w:rsidR="00F25F97" w:rsidRPr="001A48A4">
        <w:rPr>
          <w:b/>
          <w:sz w:val="28"/>
          <w:szCs w:val="28"/>
        </w:rPr>
        <w:t>комутування</w:t>
      </w:r>
      <w:proofErr w:type="spellEnd"/>
      <w:r w:rsidR="00F25F97" w:rsidRPr="001A48A4">
        <w:rPr>
          <w:b/>
          <w:sz w:val="28"/>
          <w:szCs w:val="28"/>
        </w:rPr>
        <w:t xml:space="preserve"> та захисту електричних кіл.31211340-3. Клема</w:t>
      </w:r>
      <w:r w:rsidR="00F25F97" w:rsidRPr="00F25F97">
        <w:rPr>
          <w:b/>
          <w:sz w:val="28"/>
          <w:szCs w:val="28"/>
        </w:rPr>
        <w:t xml:space="preserve"> 2-провідна з'єднувальна</w:t>
      </w:r>
      <w:r w:rsidR="00F25F97" w:rsidRPr="00F25F97">
        <w:rPr>
          <w:b/>
          <w:noProof/>
          <w:sz w:val="28"/>
          <w:szCs w:val="28"/>
        </w:rPr>
        <w:t xml:space="preserve"> з нажимним важелем.Контактор КТ6023.</w:t>
      </w:r>
    </w:p>
    <w:p w:rsidR="006B1FFC" w:rsidRPr="006B1FFC" w:rsidRDefault="006B1FFC" w:rsidP="006B1FFC">
      <w:pPr>
        <w:spacing w:line="0" w:lineRule="atLeast"/>
        <w:jc w:val="center"/>
        <w:rPr>
          <w:b/>
          <w:sz w:val="28"/>
          <w:szCs w:val="28"/>
        </w:rPr>
      </w:pPr>
    </w:p>
    <w:p w:rsidR="00260EDC" w:rsidRPr="006B1FFC" w:rsidRDefault="00260EDC" w:rsidP="006C4D6F">
      <w:pPr>
        <w:jc w:val="center"/>
        <w:rPr>
          <w:b/>
          <w:kern w:val="23"/>
          <w:sz w:val="28"/>
          <w:szCs w:val="28"/>
        </w:rPr>
      </w:pP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r w:rsidR="00C129B6">
        <w:rPr>
          <w:b/>
        </w:rPr>
        <w:t>викладений у новій редакції</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894765" w:rsidP="00755DA4">
            <w:pPr>
              <w:widowControl w:val="0"/>
              <w:ind w:left="20"/>
              <w:contextualSpacing/>
              <w:jc w:val="center"/>
            </w:pPr>
            <w:r>
              <w:t>Загальний фонд міського бюджету.</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75616" w:rsidRPr="00DB392C" w:rsidRDefault="007E01BC" w:rsidP="00175616">
            <w:pPr>
              <w:ind w:firstLine="360"/>
              <w:rPr>
                <w:color w:val="333333"/>
              </w:rPr>
            </w:pPr>
            <w:proofErr w:type="spellStart"/>
            <w:r w:rsidRPr="00D45B25">
              <w:rPr>
                <w:bCs/>
                <w:sz w:val="22"/>
                <w:szCs w:val="22"/>
              </w:rPr>
              <w:t>ДК</w:t>
            </w:r>
            <w:proofErr w:type="spellEnd"/>
            <w:r w:rsidRPr="00D45B25">
              <w:rPr>
                <w:bCs/>
                <w:sz w:val="22"/>
                <w:szCs w:val="22"/>
              </w:rPr>
              <w:t xml:space="preserve"> 021:2015:</w:t>
            </w:r>
            <w:r w:rsidR="0081508B" w:rsidRPr="006B1FFC">
              <w:rPr>
                <w:b/>
                <w:sz w:val="28"/>
                <w:szCs w:val="28"/>
              </w:rPr>
              <w:t xml:space="preserve"> </w:t>
            </w:r>
            <w:r w:rsidR="00175616" w:rsidRPr="00175616">
              <w:rPr>
                <w:sz w:val="22"/>
                <w:szCs w:val="22"/>
              </w:rPr>
              <w:t xml:space="preserve">31210000-1: Електрична апаратура для </w:t>
            </w:r>
            <w:proofErr w:type="spellStart"/>
            <w:r w:rsidR="00175616" w:rsidRPr="00175616">
              <w:rPr>
                <w:sz w:val="22"/>
                <w:szCs w:val="22"/>
              </w:rPr>
              <w:t>комутування</w:t>
            </w:r>
            <w:proofErr w:type="spellEnd"/>
            <w:r w:rsidR="00175616" w:rsidRPr="00175616">
              <w:rPr>
                <w:sz w:val="22"/>
                <w:szCs w:val="22"/>
              </w:rPr>
              <w:t xml:space="preserve"> та захисту електричних кіл.31211340-3. Клема 2-провідна з'єднувальна</w:t>
            </w:r>
            <w:r w:rsidR="00175616" w:rsidRPr="00175616">
              <w:rPr>
                <w:noProof/>
                <w:sz w:val="22"/>
                <w:szCs w:val="22"/>
              </w:rPr>
              <w:t xml:space="preserve"> з нажимним важелем.Контактор КТ6023</w:t>
            </w:r>
            <w:r w:rsidR="00175616" w:rsidRPr="00DB392C">
              <w:rPr>
                <w:noProof/>
              </w:rPr>
              <w:t>.</w:t>
            </w:r>
          </w:p>
          <w:p w:rsidR="001D600B" w:rsidRPr="0081508B" w:rsidRDefault="001D600B" w:rsidP="001D600B">
            <w:pPr>
              <w:rPr>
                <w:kern w:val="23"/>
                <w:sz w:val="20"/>
                <w:szCs w:val="20"/>
              </w:rPr>
            </w:pP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37D3C" w:rsidRDefault="005D1D16" w:rsidP="008E172B">
            <w:pPr>
              <w:rPr>
                <w:kern w:val="23"/>
                <w:lang w:val="ru-RU"/>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137D3C" w:rsidRPr="00175616">
              <w:rPr>
                <w:sz w:val="22"/>
                <w:szCs w:val="22"/>
              </w:rPr>
              <w:t xml:space="preserve"> </w:t>
            </w:r>
            <w:r w:rsidR="00137D3C">
              <w:rPr>
                <w:sz w:val="22"/>
                <w:szCs w:val="22"/>
              </w:rPr>
              <w:t>Клем</w:t>
            </w:r>
            <w:r w:rsidR="00DF03B9">
              <w:rPr>
                <w:sz w:val="22"/>
                <w:szCs w:val="22"/>
              </w:rPr>
              <w:t>а</w:t>
            </w:r>
            <w:r w:rsidR="00137D3C">
              <w:rPr>
                <w:sz w:val="22"/>
                <w:szCs w:val="22"/>
              </w:rPr>
              <w:t xml:space="preserve"> 2-провідних</w:t>
            </w:r>
            <w:r w:rsidR="00137D3C" w:rsidRPr="00175616">
              <w:rPr>
                <w:sz w:val="22"/>
                <w:szCs w:val="22"/>
              </w:rPr>
              <w:t xml:space="preserve"> </w:t>
            </w:r>
            <w:r w:rsidR="00137D3C">
              <w:rPr>
                <w:sz w:val="22"/>
                <w:szCs w:val="22"/>
              </w:rPr>
              <w:t>з'єднувальних</w:t>
            </w:r>
            <w:r w:rsidR="00137D3C" w:rsidRPr="00175616">
              <w:rPr>
                <w:noProof/>
                <w:sz w:val="22"/>
                <w:szCs w:val="22"/>
              </w:rPr>
              <w:t xml:space="preserve"> з нажимним важелем</w:t>
            </w:r>
            <w:r w:rsidR="00137D3C">
              <w:rPr>
                <w:color w:val="000000"/>
              </w:rPr>
              <w:t xml:space="preserve"> -3000</w:t>
            </w:r>
            <w:r w:rsidR="00401293">
              <w:rPr>
                <w:color w:val="000000"/>
              </w:rPr>
              <w:t xml:space="preserve"> шт.</w:t>
            </w:r>
            <w:r w:rsidR="00137D3C" w:rsidRPr="00137D3C">
              <w:rPr>
                <w:lang w:val="ru-RU"/>
              </w:rPr>
              <w:t xml:space="preserve">; </w:t>
            </w:r>
            <w:r w:rsidR="00137D3C" w:rsidRPr="00137D3C">
              <w:rPr>
                <w:noProof/>
                <w:sz w:val="22"/>
                <w:szCs w:val="22"/>
                <w:lang w:val="ru-RU"/>
              </w:rPr>
              <w:t>к</w:t>
            </w:r>
            <w:r w:rsidR="00137D3C" w:rsidRPr="00175616">
              <w:rPr>
                <w:noProof/>
                <w:sz w:val="22"/>
                <w:szCs w:val="22"/>
              </w:rPr>
              <w:t>онтактор КТ6023</w:t>
            </w:r>
            <w:r w:rsidR="00ED1F3F">
              <w:rPr>
                <w:noProof/>
                <w:sz w:val="22"/>
                <w:szCs w:val="22"/>
              </w:rPr>
              <w:t>-10</w:t>
            </w:r>
            <w:r w:rsidR="00137D3C">
              <w:rPr>
                <w:noProof/>
                <w:sz w:val="22"/>
                <w:szCs w:val="22"/>
              </w:rPr>
              <w:t xml:space="preserve"> шт.</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BA2D49">
              <w:rPr>
                <w:b/>
                <w:kern w:val="23"/>
              </w:rPr>
              <w:t>10</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lastRenderedPageBreak/>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6B3AC4">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645944">
              <w:rPr>
                <w:rFonts w:ascii="Times New Roman" w:hAnsi="Times New Roman"/>
                <w:sz w:val="24"/>
                <w:szCs w:val="24"/>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6B3AC4">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005D1D16" w:rsidRPr="00E4608A">
              <w:rPr>
                <w:shd w:val="clear" w:color="auto" w:fill="FFFFFF"/>
              </w:rPr>
              <w:lastRenderedPageBreak/>
              <w:t xml:space="preserve">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 xml:space="preserve">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w:t>
            </w:r>
            <w:r w:rsidRPr="00E453CF">
              <w:rPr>
                <w:color w:val="000000"/>
              </w:rPr>
              <w:lastRenderedPageBreak/>
              <w:t>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 xml:space="preserve">погодитися з вимогою та продовжити строк дії поданої ним </w:t>
            </w:r>
            <w:r w:rsidRPr="00312741">
              <w:rPr>
                <w:spacing w:val="-6"/>
              </w:rPr>
              <w:lastRenderedPageBreak/>
              <w:t>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141DCA" w:rsidP="001466CF">
            <w:pPr>
              <w:ind w:firstLine="284"/>
              <w:contextualSpacing/>
            </w:pPr>
            <w:r>
              <w:rPr>
                <w:b/>
                <w:sz w:val="22"/>
                <w:szCs w:val="22"/>
                <w:lang w:val="ru-RU"/>
              </w:rPr>
              <w:t>22</w:t>
            </w:r>
            <w:r w:rsidR="00BA4014">
              <w:rPr>
                <w:b/>
                <w:sz w:val="22"/>
                <w:szCs w:val="22"/>
                <w:lang w:val="ru-RU"/>
              </w:rPr>
              <w:t xml:space="preserve"> </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оцінки тендерної пропозиції із </w:t>
            </w:r>
            <w:r w:rsidRPr="00F34636">
              <w:rPr>
                <w:b/>
                <w:spacing w:val="-6"/>
              </w:rPr>
              <w:lastRenderedPageBreak/>
              <w:t>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w:t>
            </w:r>
            <w:r w:rsidRPr="00D94F59">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4F59">
              <w:rPr>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w:t>
            </w:r>
            <w:r w:rsidRPr="00F34636">
              <w:lastRenderedPageBreak/>
              <w:t>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34636">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w:t>
            </w:r>
            <w:r w:rsidR="006E2FFA" w:rsidRPr="0016005B">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 xml:space="preserve">абзацом </w:t>
              </w:r>
              <w:r>
                <w:rPr>
                  <w:rStyle w:val="af2"/>
                  <w:color w:val="006600"/>
                </w:rPr>
                <w:lastRenderedPageBreak/>
                <w:t>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відповідно до вимог тендерної документації або укладення </w:t>
            </w:r>
            <w:r>
              <w:rPr>
                <w:color w:val="333333"/>
              </w:rPr>
              <w:lastRenderedPageBreak/>
              <w:t>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 xml:space="preserve">1) відсутності подальшої потреби в закупівлі товарів, робіт чи </w:t>
            </w:r>
            <w:r w:rsidRPr="00502AB4">
              <w:rPr>
                <w:color w:val="000000"/>
              </w:rPr>
              <w:lastRenderedPageBreak/>
              <w:t>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lastRenderedPageBreak/>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122544" w:rsidRPr="00D214E7" w:rsidRDefault="00D214E7" w:rsidP="00D214E7">
            <w:pPr>
              <w:widowControl w:val="0"/>
              <w:ind w:right="113"/>
              <w:contextualSpacing/>
              <w:rPr>
                <w:color w:val="000000"/>
                <w:shd w:val="clear" w:color="auto" w:fill="FFFFFF"/>
              </w:rPr>
            </w:pPr>
            <w:r w:rsidRPr="00D214E7">
              <w:rPr>
                <w:color w:val="000000"/>
              </w:rPr>
              <w:t>Забезпечення виконання договору вноситься Учасником - переможцем не пізніше дати укладання договору про закупівлю. Вид забезпечення виконання договору про закупівлю:грошова застава. 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 Грошова застава повинна відповідати наступним вимогам: 1. Грошова застава подається учасником - переможцем на ім’я ЛКП «</w:t>
            </w:r>
            <w:proofErr w:type="spellStart"/>
            <w:r w:rsidRPr="00D214E7">
              <w:rPr>
                <w:color w:val="000000"/>
              </w:rPr>
              <w:t>Львівсвітло</w:t>
            </w:r>
            <w:proofErr w:type="spellEnd"/>
            <w:r w:rsidRPr="00D214E7">
              <w:rPr>
                <w:color w:val="000000"/>
              </w:rPr>
              <w:t>» не пізніше дати укладання договору про закупівлю.. Реквізити для оформлення грошової застави: Львівське комунальне підприємство «</w:t>
            </w:r>
            <w:proofErr w:type="spellStart"/>
            <w:r w:rsidRPr="00D214E7">
              <w:rPr>
                <w:color w:val="000000"/>
              </w:rPr>
              <w:t>Львівсвітло</w:t>
            </w:r>
            <w:proofErr w:type="spellEnd"/>
            <w:r w:rsidRPr="00D214E7">
              <w:rPr>
                <w:color w:val="000000"/>
              </w:rPr>
              <w:t xml:space="preserve">» 79068 </w:t>
            </w:r>
            <w:proofErr w:type="spellStart"/>
            <w:r w:rsidRPr="00D214E7">
              <w:rPr>
                <w:color w:val="000000"/>
              </w:rPr>
              <w:t>м.Львів</w:t>
            </w:r>
            <w:proofErr w:type="spellEnd"/>
            <w:r w:rsidRPr="00D214E7">
              <w:rPr>
                <w:color w:val="000000"/>
              </w:rPr>
              <w:t xml:space="preserve"> вул..А.Лінкольна,8 ЄДРПОУ 03348577 ІПН 033485713072,п/р UA 163204780000000026007273563 в ПАТ АБ «УКРГАЗБАНК» Строк дії забезпечення виконання договору про закупівлю повинен закінчуватися після спливу строку дії договору, в забезпечення якого вона надана.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w:t>
            </w:r>
            <w:r w:rsidRPr="00D214E7">
              <w:rPr>
                <w:color w:val="000000"/>
              </w:rPr>
              <w:lastRenderedPageBreak/>
              <w:t>обставин.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695408">
              <w:rPr>
                <w:color w:val="000000"/>
              </w:rPr>
              <w:t>.</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7E" w:rsidRDefault="005F777E">
      <w:r>
        <w:separator/>
      </w:r>
    </w:p>
  </w:endnote>
  <w:endnote w:type="continuationSeparator" w:id="0">
    <w:p w:rsidR="005F777E" w:rsidRDefault="005F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7E" w:rsidRDefault="005F777E">
      <w:r>
        <w:separator/>
      </w:r>
    </w:p>
  </w:footnote>
  <w:footnote w:type="continuationSeparator" w:id="0">
    <w:p w:rsidR="005F777E" w:rsidRDefault="005F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673923"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81922"/>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37D3C"/>
    <w:rsid w:val="0014059D"/>
    <w:rsid w:val="001406AF"/>
    <w:rsid w:val="00140A83"/>
    <w:rsid w:val="00141DCA"/>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616"/>
    <w:rsid w:val="00175769"/>
    <w:rsid w:val="001757C8"/>
    <w:rsid w:val="00175E29"/>
    <w:rsid w:val="0017749C"/>
    <w:rsid w:val="00180303"/>
    <w:rsid w:val="00180BB2"/>
    <w:rsid w:val="00181A1B"/>
    <w:rsid w:val="001823D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8A4"/>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4AC9"/>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31"/>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462A"/>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3D5F"/>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77E"/>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923"/>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408"/>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1FFC"/>
    <w:rsid w:val="006B2049"/>
    <w:rsid w:val="006B2D38"/>
    <w:rsid w:val="006B34E2"/>
    <w:rsid w:val="006B39B9"/>
    <w:rsid w:val="006B3AC4"/>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C6D"/>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08B"/>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765"/>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49"/>
    <w:rsid w:val="00BA2DE7"/>
    <w:rsid w:val="00BA391C"/>
    <w:rsid w:val="00BA3C53"/>
    <w:rsid w:val="00BA4014"/>
    <w:rsid w:val="00BA413E"/>
    <w:rsid w:val="00BA4657"/>
    <w:rsid w:val="00BA5826"/>
    <w:rsid w:val="00BA72A8"/>
    <w:rsid w:val="00BA74AA"/>
    <w:rsid w:val="00BA756E"/>
    <w:rsid w:val="00BA7667"/>
    <w:rsid w:val="00BB039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0B4"/>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29B6"/>
    <w:rsid w:val="00C142FC"/>
    <w:rsid w:val="00C14475"/>
    <w:rsid w:val="00C14E10"/>
    <w:rsid w:val="00C156EF"/>
    <w:rsid w:val="00C16BBD"/>
    <w:rsid w:val="00C17D30"/>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2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62FC"/>
    <w:rsid w:val="00D171AF"/>
    <w:rsid w:val="00D1732A"/>
    <w:rsid w:val="00D17B6E"/>
    <w:rsid w:val="00D17CC4"/>
    <w:rsid w:val="00D206F3"/>
    <w:rsid w:val="00D20A8F"/>
    <w:rsid w:val="00D21281"/>
    <w:rsid w:val="00D214E7"/>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77DD5"/>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03B9"/>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416"/>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1F3F"/>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6C9"/>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5F97"/>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916"/>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B9D5-2EC1-44C4-98B8-704D1688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36131</Words>
  <Characters>20595</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41</cp:revision>
  <cp:lastPrinted>2022-05-12T06:34:00Z</cp:lastPrinted>
  <dcterms:created xsi:type="dcterms:W3CDTF">2024-02-28T09:18:00Z</dcterms:created>
  <dcterms:modified xsi:type="dcterms:W3CDTF">2024-03-15T11:31:00Z</dcterms:modified>
</cp:coreProperties>
</file>