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771D" w14:textId="77777777"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3 до документації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10858A21"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Старокостянтинів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171D07"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74608542" w:rsidR="00867293" w:rsidRPr="005129A3"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Військова частина А0598, в особі командира військової частини А0598 полковника </w:t>
      </w:r>
      <w:r w:rsidR="00B718DF" w:rsidRPr="005129A3">
        <w:rPr>
          <w:rFonts w:ascii="Times New Roman" w:eastAsia="Times New Roman" w:hAnsi="Times New Roman" w:cs="Times New Roman"/>
          <w:sz w:val="21"/>
          <w:szCs w:val="21"/>
          <w:lang w:val="uk-UA" w:eastAsia="uk-UA"/>
        </w:rPr>
        <w:br/>
      </w:r>
      <w:r w:rsidRPr="005129A3">
        <w:rPr>
          <w:rFonts w:ascii="Times New Roman" w:eastAsia="Times New Roman" w:hAnsi="Times New Roman" w:cs="Times New Roman"/>
          <w:sz w:val="21"/>
          <w:szCs w:val="21"/>
          <w:lang w:val="uk-UA" w:eastAsia="uk-UA"/>
        </w:rPr>
        <w:t>РОЖКОВА Олега Миколайовича, що діє на підставі Наказу Міністра Оборони України «Про затвердження положення про військове (корабельне) господарство ЗСУ №300»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6380420C" w:rsidR="00FC64AA" w:rsidRPr="005129A3" w:rsidRDefault="00FC64AA" w:rsidP="00826369">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5129A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6800B0" w:rsidRPr="006800B0">
        <w:rPr>
          <w:rFonts w:ascii="Times New Roman" w:hAnsi="Times New Roman" w:cs="Times New Roman"/>
          <w:sz w:val="21"/>
          <w:szCs w:val="21"/>
          <w:lang w:val="uk-UA"/>
        </w:rPr>
        <w:t>модульні плити для підлоги з ПВХ "Павук" посилені 730*730*22 мм за ДК 021:2015 Код 44110000-4 Конструкційні матеріали</w:t>
      </w:r>
      <w:r w:rsidRPr="005129A3">
        <w:rPr>
          <w:rFonts w:ascii="Times New Roman" w:hAnsi="Times New Roman" w:cs="Times New Roman"/>
          <w:color w:val="FF0000"/>
          <w:sz w:val="21"/>
          <w:szCs w:val="21"/>
          <w:lang w:val="uk-UA"/>
        </w:rPr>
        <w:t>.</w:t>
      </w:r>
    </w:p>
    <w:p w14:paraId="1B2BC555" w14:textId="2EAD0BA8"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3637D4E2"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9B0B43" w:rsidRPr="009B0B43">
        <w:rPr>
          <w:rFonts w:ascii="Times New Roman" w:eastAsia="Times New Roman" w:hAnsi="Times New Roman" w:cs="Times New Roman"/>
          <w:sz w:val="21"/>
          <w:szCs w:val="21"/>
          <w:lang w:val="uk-UA" w:eastAsia="uk-UA"/>
        </w:rPr>
        <w:t>___________________________________</w:t>
      </w:r>
      <w:r w:rsidR="00C24D18" w:rsidRPr="00C24D18">
        <w:rPr>
          <w:rFonts w:ascii="Times New Roman" w:eastAsia="Times New Roman" w:hAnsi="Times New Roman" w:cs="Times New Roman"/>
          <w:sz w:val="21"/>
          <w:szCs w:val="21"/>
          <w:lang w:val="uk-UA" w:eastAsia="uk-UA"/>
        </w:rPr>
        <w:t xml:space="preserve">  грн. (____________________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w:t>
      </w:r>
      <w:r w:rsidR="00275052">
        <w:rPr>
          <w:rFonts w:ascii="Times New Roman" w:eastAsia="Times New Roman" w:hAnsi="Times New Roman" w:cs="Times New Roman"/>
          <w:sz w:val="21"/>
          <w:szCs w:val="21"/>
          <w:lang w:val="uk-UA" w:eastAsia="uk-UA"/>
        </w:rPr>
        <w:t>_________________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525D0678" w14:textId="3B5E1B22" w:rsidR="00CF219B" w:rsidRPr="005129A3" w:rsidRDefault="00CF219B" w:rsidP="00CF219B">
      <w:pPr>
        <w:spacing w:after="0" w:line="240" w:lineRule="auto"/>
        <w:ind w:firstLine="709"/>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Загальний фонд КПКВ 2101020/7 КЕКВ 2210 код видатків 030/7 – </w:t>
      </w:r>
      <w:r w:rsidR="00DB432D">
        <w:rPr>
          <w:rFonts w:ascii="Times New Roman" w:eastAsia="Times New Roman" w:hAnsi="Times New Roman" w:cs="Times New Roman"/>
          <w:sz w:val="21"/>
          <w:szCs w:val="21"/>
          <w:lang w:val="uk-UA" w:eastAsia="uk-UA"/>
        </w:rPr>
        <w:t>_________________________</w:t>
      </w:r>
      <w:r w:rsidRPr="005129A3">
        <w:rPr>
          <w:rFonts w:ascii="Times New Roman" w:eastAsia="Times New Roman" w:hAnsi="Times New Roman" w:cs="Times New Roman"/>
          <w:sz w:val="21"/>
          <w:szCs w:val="21"/>
          <w:lang w:val="uk-UA" w:eastAsia="uk-UA"/>
        </w:rPr>
        <w:t xml:space="preserve"> грн.</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7FF81ED8"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5129A3">
        <w:rPr>
          <w:rFonts w:ascii="Times New Roman" w:eastAsia="Times New Roman" w:hAnsi="Times New Roman"/>
          <w:b/>
          <w:color w:val="000000"/>
          <w:sz w:val="21"/>
          <w:szCs w:val="21"/>
          <w:u w:val="single"/>
          <w:lang w:val="uk-UA"/>
        </w:rPr>
        <w:t xml:space="preserve">не пізніше </w:t>
      </w:r>
      <w:r w:rsidR="00CD332C">
        <w:rPr>
          <w:rFonts w:ascii="Times New Roman" w:eastAsia="Times New Roman" w:hAnsi="Times New Roman"/>
          <w:b/>
          <w:color w:val="000000"/>
          <w:sz w:val="21"/>
          <w:szCs w:val="21"/>
          <w:u w:val="single"/>
          <w:lang w:val="uk-UA"/>
        </w:rPr>
        <w:t>20</w:t>
      </w:r>
      <w:bookmarkStart w:id="0" w:name="_GoBack"/>
      <w:bookmarkEnd w:id="0"/>
      <w:r w:rsidR="00A439B6" w:rsidRPr="005129A3">
        <w:rPr>
          <w:rFonts w:ascii="Times New Roman" w:eastAsia="Times New Roman" w:hAnsi="Times New Roman"/>
          <w:b/>
          <w:color w:val="000000"/>
          <w:sz w:val="21"/>
          <w:szCs w:val="21"/>
          <w:u w:val="single"/>
          <w:lang w:val="uk-UA"/>
        </w:rPr>
        <w:t xml:space="preserve"> </w:t>
      </w:r>
      <w:r w:rsidR="00CF219B" w:rsidRPr="005129A3">
        <w:rPr>
          <w:rFonts w:ascii="Times New Roman" w:eastAsia="Times New Roman" w:hAnsi="Times New Roman"/>
          <w:b/>
          <w:color w:val="000000"/>
          <w:sz w:val="21"/>
          <w:szCs w:val="21"/>
          <w:u w:val="single"/>
          <w:lang w:val="uk-UA"/>
        </w:rPr>
        <w:t>грудня</w:t>
      </w:r>
      <w:r w:rsidRPr="005129A3">
        <w:rPr>
          <w:rFonts w:ascii="Times New Roman" w:eastAsia="Times New Roman" w:hAnsi="Times New Roman"/>
          <w:b/>
          <w:color w:val="000000"/>
          <w:sz w:val="21"/>
          <w:szCs w:val="21"/>
          <w:u w:val="single"/>
          <w:lang w:val="uk-UA"/>
        </w:rPr>
        <w:t xml:space="preserve"> 202</w:t>
      </w:r>
      <w:r w:rsidR="00B718DF" w:rsidRPr="005129A3">
        <w:rPr>
          <w:rFonts w:ascii="Times New Roman" w:eastAsia="Times New Roman" w:hAnsi="Times New Roman"/>
          <w:b/>
          <w:color w:val="000000"/>
          <w:sz w:val="21"/>
          <w:szCs w:val="21"/>
          <w:u w:val="single"/>
          <w:lang w:val="uk-UA"/>
        </w:rPr>
        <w:t>3</w:t>
      </w:r>
      <w:r w:rsidRPr="005129A3">
        <w:rPr>
          <w:rFonts w:ascii="Times New Roman" w:eastAsia="Times New Roman" w:hAnsi="Times New Roman"/>
          <w:b/>
          <w:color w:val="000000"/>
          <w:sz w:val="21"/>
          <w:szCs w:val="21"/>
          <w:u w:val="single"/>
          <w:lang w:val="uk-UA"/>
        </w:rPr>
        <w:t xml:space="preserve"> року</w:t>
      </w:r>
      <w:r w:rsidRPr="005129A3">
        <w:rPr>
          <w:rFonts w:ascii="Times New Roman" w:eastAsia="Times New Roman" w:hAnsi="Times New Roman"/>
          <w:color w:val="000000"/>
          <w:sz w:val="21"/>
          <w:szCs w:val="21"/>
          <w:lang w:val="uk-UA"/>
        </w:rPr>
        <w:t>.</w:t>
      </w:r>
    </w:p>
    <w:p w14:paraId="18DF6928" w14:textId="77777777"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5.2. Місце поставки (передачі) Продукції є військова частина А0598 (31101, вул. Попова 9, м. Старокостянтинів Хмельницької області) (далі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Застосування зазначених </w:t>
      </w:r>
      <w:proofErr w:type="spellStart"/>
      <w:r w:rsidRPr="005129A3">
        <w:rPr>
          <w:rFonts w:ascii="Times New Roman" w:eastAsia="Times New Roman" w:hAnsi="Times New Roman" w:cs="Times New Roman"/>
          <w:sz w:val="21"/>
          <w:szCs w:val="21"/>
          <w:lang w:val="uk-UA" w:eastAsia="uk-UA"/>
        </w:rPr>
        <w:t>оперативно</w:t>
      </w:r>
      <w:proofErr w:type="spellEnd"/>
      <w:r w:rsidRPr="005129A3">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5129A3">
        <w:rPr>
          <w:rFonts w:ascii="Times New Roman" w:eastAsia="Times New Roman" w:hAnsi="Times New Roman"/>
          <w:sz w:val="21"/>
          <w:szCs w:val="21"/>
          <w:lang w:val="uk-UA"/>
        </w:rPr>
        <w:t>проток</w:t>
      </w:r>
      <w:proofErr w:type="spellEnd"/>
      <w:r w:rsidRPr="005129A3">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sz w:val="21"/>
          <w:szCs w:val="21"/>
          <w:shd w:val="clear" w:color="auto" w:fill="FFFFFF"/>
          <w:lang w:val="uk-UA"/>
        </w:rPr>
        <w:t>закупівель</w:t>
      </w:r>
      <w:proofErr w:type="spellEnd"/>
      <w:r w:rsidRPr="005129A3">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5129A3">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29</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B718DF" w:rsidRPr="005129A3">
        <w:rPr>
          <w:rFonts w:ascii="Times New Roman" w:eastAsia="Times New Roman" w:hAnsi="Times New Roman" w:cs="Times New Roman"/>
          <w:b/>
          <w:sz w:val="21"/>
          <w:szCs w:val="21"/>
          <w:u w:val="single"/>
          <w:lang w:val="uk-UA" w:eastAsia="uk-UA"/>
        </w:rPr>
        <w:t>3</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682F4E">
        <w:rPr>
          <w:rFonts w:ascii="Times New Roman" w:eastAsia="Times New Roman" w:hAnsi="Times New Roman" w:cs="Times New Roman"/>
          <w:sz w:val="21"/>
          <w:szCs w:val="21"/>
          <w:lang w:val="uk-UA" w:eastAsia="ru-RU"/>
        </w:rPr>
        <w:t>вигод</w:t>
      </w:r>
      <w:proofErr w:type="spellEnd"/>
      <w:r w:rsidR="00682F4E" w:rsidRPr="00682F4E">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1BE77F76"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5129A3">
        <w:rPr>
          <w:rFonts w:ascii="Times New Roman" w:eastAsia="Times New Roman" w:hAnsi="Times New Roman" w:cs="Times New Roman"/>
          <w:sz w:val="21"/>
          <w:szCs w:val="21"/>
          <w:lang w:val="uk-UA" w:eastAsia="uk-UA"/>
        </w:rPr>
        <w:t>ВЕРЬОВКА Олександр Андрійович, адреса: 31100, Хмельницька обл. вул. Попова 9,  контактні телефони: (097)-131-51-70, факс – (8054)32479</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1"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w:t>
      </w:r>
      <w:r w:rsidR="00AE2A86" w:rsidRPr="005129A3">
        <w:rPr>
          <w:rFonts w:ascii="Times New Roman" w:eastAsia="Times New Roman" w:hAnsi="Times New Roman" w:cs="Times New Roman"/>
          <w:sz w:val="21"/>
          <w:szCs w:val="21"/>
          <w:lang w:val="uk-UA" w:eastAsia="uk-UA"/>
        </w:rPr>
        <w:lastRenderedPageBreak/>
        <w:t>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5129A3">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5129A3">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 xml:space="preserve">“Про публічні закупівлі”, в електронній системі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3"/>
      <w:bookmarkEnd w:id="2"/>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5129A3">
        <w:rPr>
          <w:rFonts w:ascii="Times New Roman" w:eastAsia="Times New Roman" w:hAnsi="Times New Roman" w:cs="Times New Roman"/>
          <w:sz w:val="21"/>
          <w:szCs w:val="21"/>
          <w:lang w:eastAsia="uk-UA"/>
        </w:rPr>
        <w:t>Кабінету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Міністрів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12 </w:t>
      </w:r>
      <w:proofErr w:type="spellStart"/>
      <w:r w:rsidRPr="005129A3">
        <w:rPr>
          <w:rFonts w:ascii="Times New Roman" w:eastAsia="Times New Roman" w:hAnsi="Times New Roman" w:cs="Times New Roman"/>
          <w:sz w:val="21"/>
          <w:szCs w:val="21"/>
          <w:lang w:eastAsia="uk-UA"/>
        </w:rPr>
        <w:t>жовтня</w:t>
      </w:r>
      <w:proofErr w:type="spellEnd"/>
      <w:r w:rsidRPr="005129A3">
        <w:rPr>
          <w:rFonts w:ascii="Times New Roman" w:eastAsia="Times New Roman" w:hAnsi="Times New Roman" w:cs="Times New Roman"/>
          <w:sz w:val="21"/>
          <w:szCs w:val="21"/>
          <w:lang w:eastAsia="uk-UA"/>
        </w:rPr>
        <w:t xml:space="preserve"> 2022 р. № 1178, </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інше</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передбачено</w:t>
      </w:r>
      <w:proofErr w:type="spellEnd"/>
      <w:r w:rsidRPr="005129A3">
        <w:rPr>
          <w:rFonts w:ascii="Times New Roman" w:eastAsia="Times New Roman" w:hAnsi="Times New Roman" w:cs="Times New Roman"/>
          <w:sz w:val="21"/>
          <w:szCs w:val="21"/>
          <w:lang w:eastAsia="uk-UA"/>
        </w:rPr>
        <w:t xml:space="preserve"> нормативно-</w:t>
      </w:r>
      <w:proofErr w:type="spellStart"/>
      <w:r w:rsidRPr="005129A3">
        <w:rPr>
          <w:rFonts w:ascii="Times New Roman" w:eastAsia="Times New Roman" w:hAnsi="Times New Roman" w:cs="Times New Roman"/>
          <w:sz w:val="21"/>
          <w:szCs w:val="21"/>
          <w:lang w:eastAsia="uk-UA"/>
        </w:rPr>
        <w:t>правовими</w:t>
      </w:r>
      <w:proofErr w:type="spellEnd"/>
      <w:r w:rsidRPr="005129A3">
        <w:rPr>
          <w:rFonts w:ascii="Times New Roman" w:eastAsia="Times New Roman" w:hAnsi="Times New Roman" w:cs="Times New Roman"/>
          <w:sz w:val="21"/>
          <w:szCs w:val="21"/>
          <w:lang w:eastAsia="uk-UA"/>
        </w:rPr>
        <w:t xml:space="preserve"> актами, </w:t>
      </w:r>
      <w:proofErr w:type="spellStart"/>
      <w:r w:rsidRPr="005129A3">
        <w:rPr>
          <w:rFonts w:ascii="Times New Roman" w:eastAsia="Times New Roman" w:hAnsi="Times New Roman" w:cs="Times New Roman"/>
          <w:sz w:val="21"/>
          <w:szCs w:val="21"/>
          <w:lang w:eastAsia="uk-UA"/>
        </w:rPr>
        <w:t>прийнятими</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частини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третьої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статті</w:t>
      </w:r>
      <w:proofErr w:type="spellEnd"/>
      <w:r w:rsidRPr="005129A3">
        <w:rPr>
          <w:rFonts w:ascii="Times New Roman" w:eastAsia="Times New Roman" w:hAnsi="Times New Roman" w:cs="Times New Roman"/>
          <w:sz w:val="21"/>
          <w:szCs w:val="21"/>
          <w:lang w:eastAsia="uk-UA"/>
        </w:rPr>
        <w:t xml:space="preserve"> 30 Закону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“Про </w:t>
      </w:r>
      <w:proofErr w:type="spellStart"/>
      <w:r w:rsidRPr="005129A3">
        <w:rPr>
          <w:rFonts w:ascii="Times New Roman" w:eastAsia="Times New Roman" w:hAnsi="Times New Roman" w:cs="Times New Roman"/>
          <w:sz w:val="21"/>
          <w:szCs w:val="21"/>
          <w:lang w:eastAsia="uk-UA"/>
        </w:rPr>
        <w:t>оборонні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3" w:name="n34"/>
      <w:bookmarkEnd w:id="3"/>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здійснення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оборонних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закупівель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державні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визначають</w:t>
      </w:r>
      <w:proofErr w:type="spellEnd"/>
      <w:r w:rsidRPr="005129A3">
        <w:rPr>
          <w:rFonts w:ascii="Times New Roman" w:eastAsia="Times New Roman" w:hAnsi="Times New Roman" w:cs="Times New Roman"/>
          <w:sz w:val="21"/>
          <w:szCs w:val="21"/>
          <w:lang w:eastAsia="uk-UA"/>
        </w:rPr>
        <w:t xml:space="preserve"> предмет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відповідно</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вимог</w:t>
      </w:r>
      <w:proofErr w:type="spellEnd"/>
      <w:r w:rsidRPr="005129A3">
        <w:rPr>
          <w:rFonts w:ascii="Times New Roman" w:eastAsia="Times New Roman" w:hAnsi="Times New Roman" w:cs="Times New Roman"/>
          <w:sz w:val="21"/>
          <w:szCs w:val="21"/>
          <w:lang w:eastAsia="uk-UA"/>
        </w:rPr>
        <w:t> </w:t>
      </w:r>
      <w:hyperlink r:id="rId13" w:anchor="n15" w:tgtFrame="_blank" w:history="1">
        <w:r w:rsidRPr="005129A3">
          <w:rPr>
            <w:rStyle w:val="a9"/>
            <w:rFonts w:ascii="Times New Roman" w:eastAsia="Times New Roman" w:hAnsi="Times New Roman" w:cs="Times New Roman"/>
            <w:color w:val="auto"/>
            <w:sz w:val="21"/>
            <w:szCs w:val="21"/>
            <w:u w:val="none"/>
            <w:lang w:eastAsia="uk-UA"/>
          </w:rPr>
          <w:t xml:space="preserve">Порядку </w:t>
        </w:r>
        <w:proofErr w:type="spellStart"/>
        <w:r w:rsidRPr="005129A3">
          <w:rPr>
            <w:rStyle w:val="a9"/>
            <w:rFonts w:ascii="Times New Roman" w:eastAsia="Times New Roman" w:hAnsi="Times New Roman" w:cs="Times New Roman"/>
            <w:color w:val="auto"/>
            <w:sz w:val="21"/>
            <w:szCs w:val="21"/>
            <w:u w:val="none"/>
            <w:lang w:eastAsia="uk-UA"/>
          </w:rPr>
          <w:t>визначення</w:t>
        </w:r>
        <w:proofErr w:type="spellEnd"/>
        <w:r w:rsidRPr="005129A3">
          <w:rPr>
            <w:rStyle w:val="a9"/>
            <w:rFonts w:ascii="Times New Roman" w:eastAsia="Times New Roman" w:hAnsi="Times New Roman" w:cs="Times New Roman"/>
            <w:color w:val="auto"/>
            <w:sz w:val="21"/>
            <w:szCs w:val="21"/>
            <w:u w:val="none"/>
            <w:lang w:eastAsia="uk-UA"/>
          </w:rPr>
          <w:t xml:space="preserve"> предмета </w:t>
        </w:r>
        <w:proofErr w:type="spellStart"/>
        <w:r w:rsidRPr="005129A3">
          <w:rPr>
            <w:rStyle w:val="a9"/>
            <w:rFonts w:ascii="Times New Roman" w:eastAsia="Times New Roman" w:hAnsi="Times New Roman" w:cs="Times New Roman"/>
            <w:color w:val="auto"/>
            <w:sz w:val="21"/>
            <w:szCs w:val="21"/>
            <w:u w:val="none"/>
            <w:lang w:eastAsia="uk-UA"/>
          </w:rPr>
          <w:t>закупівлі</w:t>
        </w:r>
        <w:proofErr w:type="spellEnd"/>
      </w:hyperlink>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затвердженого</w:t>
      </w:r>
      <w:proofErr w:type="spellEnd"/>
      <w:r w:rsidRPr="005129A3">
        <w:rPr>
          <w:rFonts w:ascii="Times New Roman" w:eastAsia="Times New Roman" w:hAnsi="Times New Roman" w:cs="Times New Roman"/>
          <w:sz w:val="21"/>
          <w:szCs w:val="21"/>
          <w:lang w:eastAsia="uk-UA"/>
        </w:rPr>
        <w:t xml:space="preserve"> наказом </w:t>
      </w:r>
      <w:proofErr w:type="spellStart"/>
      <w:r w:rsidRPr="005129A3">
        <w:rPr>
          <w:rFonts w:ascii="Times New Roman" w:eastAsia="Times New Roman" w:hAnsi="Times New Roman" w:cs="Times New Roman"/>
          <w:sz w:val="21"/>
          <w:szCs w:val="21"/>
          <w:lang w:eastAsia="uk-UA"/>
        </w:rPr>
        <w:t>Мінекономіки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15 </w:t>
      </w:r>
      <w:proofErr w:type="spellStart"/>
      <w:r w:rsidRPr="005129A3">
        <w:rPr>
          <w:rFonts w:ascii="Times New Roman" w:eastAsia="Times New Roman" w:hAnsi="Times New Roman" w:cs="Times New Roman"/>
          <w:sz w:val="21"/>
          <w:szCs w:val="21"/>
          <w:lang w:eastAsia="uk-UA"/>
        </w:rPr>
        <w:t>квітня</w:t>
      </w:r>
      <w:proofErr w:type="spellEnd"/>
      <w:r w:rsidRPr="005129A3">
        <w:rPr>
          <w:rFonts w:ascii="Times New Roman" w:eastAsia="Times New Roman" w:hAnsi="Times New Roman" w:cs="Times New Roman"/>
          <w:sz w:val="21"/>
          <w:szCs w:val="21"/>
          <w:lang w:eastAsia="uk-UA"/>
        </w:rPr>
        <w:t xml:space="preserve"> 2020 р. № 708,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особливостей</w:t>
      </w:r>
      <w:proofErr w:type="spellEnd"/>
      <w:r w:rsidRPr="005129A3">
        <w:rPr>
          <w:rFonts w:ascii="Times New Roman" w:eastAsia="Times New Roman" w:hAnsi="Times New Roman" w:cs="Times New Roman"/>
          <w:sz w:val="21"/>
          <w:szCs w:val="21"/>
          <w:lang w:eastAsia="uk-UA"/>
        </w:rPr>
        <w:t>.</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5129A3">
        <w:rPr>
          <w:rFonts w:ascii="Times New Roman" w:eastAsia="Times New Roman" w:hAnsi="Times New Roman" w:cs="Times New Roman"/>
          <w:sz w:val="21"/>
          <w:szCs w:val="21"/>
          <w:lang w:val="uk-UA" w:eastAsia="uk-UA"/>
        </w:rPr>
        <w:t>закупівель</w:t>
      </w:r>
      <w:proofErr w:type="spellEnd"/>
      <w:r w:rsidR="00D36415" w:rsidRPr="005129A3">
        <w:rPr>
          <w:rFonts w:ascii="Times New Roman" w:eastAsia="Times New Roman" w:hAnsi="Times New Roman" w:cs="Times New Roman"/>
          <w:sz w:val="21"/>
          <w:szCs w:val="21"/>
          <w:lang w:val="uk-UA" w:eastAsia="uk-UA"/>
        </w:rPr>
        <w:t>,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 xml:space="preserve">Порядок </w:t>
      </w:r>
      <w:proofErr w:type="spellStart"/>
      <w:r w:rsidR="00D36415" w:rsidRPr="005129A3">
        <w:rPr>
          <w:rFonts w:ascii="Times New Roman" w:eastAsia="Times New Roman" w:hAnsi="Times New Roman" w:cs="Times New Roman"/>
          <w:sz w:val="21"/>
          <w:szCs w:val="21"/>
          <w:lang w:eastAsia="uk-UA"/>
        </w:rPr>
        <w:t>проведення</w:t>
      </w:r>
      <w:proofErr w:type="spellEnd"/>
      <w:r w:rsidR="00D36415" w:rsidRPr="005129A3">
        <w:rPr>
          <w:rFonts w:ascii="Times New Roman" w:eastAsia="Times New Roman" w:hAnsi="Times New Roman" w:cs="Times New Roman"/>
          <w:sz w:val="21"/>
          <w:szCs w:val="21"/>
          <w:lang w:eastAsia="uk-UA"/>
        </w:rPr>
        <w:t xml:space="preserve"> таких </w:t>
      </w:r>
      <w:proofErr w:type="spellStart"/>
      <w:r w:rsidR="00D36415" w:rsidRPr="005129A3">
        <w:rPr>
          <w:rFonts w:ascii="Times New Roman" w:eastAsia="Times New Roman" w:hAnsi="Times New Roman" w:cs="Times New Roman"/>
          <w:sz w:val="21"/>
          <w:szCs w:val="21"/>
          <w:lang w:eastAsia="uk-UA"/>
        </w:rPr>
        <w:t>закупівель</w:t>
      </w:r>
      <w:proofErr w:type="spellEnd"/>
      <w:r w:rsidR="00D36415" w:rsidRPr="005129A3">
        <w:rPr>
          <w:rFonts w:ascii="Times New Roman" w:eastAsia="Times New Roman" w:hAnsi="Times New Roman" w:cs="Times New Roman"/>
          <w:sz w:val="21"/>
          <w:szCs w:val="21"/>
          <w:lang w:eastAsia="uk-UA"/>
        </w:rPr>
        <w:t xml:space="preserve">, у тому </w:t>
      </w:r>
      <w:proofErr w:type="spellStart"/>
      <w:r w:rsidR="00D36415" w:rsidRPr="005129A3">
        <w:rPr>
          <w:rFonts w:ascii="Times New Roman" w:eastAsia="Times New Roman" w:hAnsi="Times New Roman" w:cs="Times New Roman"/>
          <w:sz w:val="21"/>
          <w:szCs w:val="21"/>
          <w:lang w:eastAsia="uk-UA"/>
        </w:rPr>
        <w:t>числі</w:t>
      </w:r>
      <w:proofErr w:type="spellEnd"/>
      <w:r w:rsidR="00D36415" w:rsidRPr="005129A3">
        <w:rPr>
          <w:rFonts w:ascii="Times New Roman" w:eastAsia="Times New Roman" w:hAnsi="Times New Roman" w:cs="Times New Roman"/>
          <w:sz w:val="21"/>
          <w:szCs w:val="21"/>
          <w:lang w:eastAsia="uk-UA"/>
        </w:rPr>
        <w:t xml:space="preserve"> порядок </w:t>
      </w:r>
      <w:proofErr w:type="spellStart"/>
      <w:r w:rsidR="00D36415" w:rsidRPr="005129A3">
        <w:rPr>
          <w:rFonts w:ascii="Times New Roman" w:eastAsia="Times New Roman" w:hAnsi="Times New Roman" w:cs="Times New Roman"/>
          <w:sz w:val="21"/>
          <w:szCs w:val="21"/>
          <w:lang w:eastAsia="uk-UA"/>
        </w:rPr>
        <w:t>укладення</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державних</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контрактів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договорів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ви</w:t>
      </w:r>
      <w:r w:rsidR="00682F4E" w:rsidRPr="005129A3">
        <w:rPr>
          <w:rFonts w:ascii="Times New Roman" w:eastAsia="Times New Roman" w:hAnsi="Times New Roman" w:cs="Times New Roman"/>
          <w:sz w:val="21"/>
          <w:szCs w:val="21"/>
          <w:lang w:eastAsia="uk-UA"/>
        </w:rPr>
        <w:t>значається</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державним</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замовником</w:t>
      </w:r>
      <w:proofErr w:type="spellEnd"/>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(крім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4" w:name="n467"/>
      <w:bookmarkEnd w:id="4"/>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Істотні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державного контракту (договору) не </w:t>
      </w:r>
      <w:proofErr w:type="spellStart"/>
      <w:r w:rsidRPr="005129A3">
        <w:rPr>
          <w:rFonts w:ascii="Times New Roman" w:eastAsia="Times New Roman" w:hAnsi="Times New Roman" w:cs="Times New Roman"/>
          <w:sz w:val="21"/>
          <w:szCs w:val="21"/>
          <w:lang w:eastAsia="uk-UA"/>
        </w:rPr>
        <w:t>можуть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змінюватися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після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укладення</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сторонами в </w:t>
      </w:r>
      <w:proofErr w:type="spellStart"/>
      <w:r w:rsidRPr="005129A3">
        <w:rPr>
          <w:rFonts w:ascii="Times New Roman" w:eastAsia="Times New Roman" w:hAnsi="Times New Roman" w:cs="Times New Roman"/>
          <w:sz w:val="21"/>
          <w:szCs w:val="21"/>
          <w:lang w:eastAsia="uk-UA"/>
        </w:rPr>
        <w:t>повному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крім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випадків</w:t>
      </w:r>
      <w:proofErr w:type="spellEnd"/>
      <w:r w:rsidRPr="005129A3">
        <w:rPr>
          <w:rFonts w:ascii="Times New Roman" w:eastAsia="Times New Roman" w:hAnsi="Times New Roman" w:cs="Times New Roman"/>
          <w:sz w:val="21"/>
          <w:szCs w:val="21"/>
          <w:lang w:eastAsia="uk-UA"/>
        </w:rPr>
        <w:t>:</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7"/>
      <w:bookmarkEnd w:id="5"/>
      <w:proofErr w:type="spellStart"/>
      <w:r w:rsidRPr="005129A3">
        <w:rPr>
          <w:rFonts w:ascii="Times New Roman" w:eastAsia="Times New Roman" w:hAnsi="Times New Roman" w:cs="Times New Roman"/>
          <w:sz w:val="21"/>
          <w:szCs w:val="21"/>
          <w:lang w:eastAsia="uk-UA"/>
        </w:rPr>
        <w:t>коригування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обсягів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зокрема</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фактичного </w:t>
      </w:r>
      <w:proofErr w:type="spellStart"/>
      <w:r w:rsidRPr="005129A3">
        <w:rPr>
          <w:rFonts w:ascii="Times New Roman" w:eastAsia="Times New Roman" w:hAnsi="Times New Roman" w:cs="Times New Roman"/>
          <w:sz w:val="21"/>
          <w:szCs w:val="21"/>
          <w:lang w:eastAsia="uk-UA"/>
        </w:rPr>
        <w:t>обсягу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видатків</w:t>
      </w:r>
      <w:proofErr w:type="spellEnd"/>
      <w:r w:rsidRPr="005129A3">
        <w:rPr>
          <w:rFonts w:ascii="Times New Roman" w:eastAsia="Times New Roman" w:hAnsi="Times New Roman" w:cs="Times New Roman"/>
          <w:sz w:val="21"/>
          <w:szCs w:val="21"/>
          <w:lang w:eastAsia="uk-UA"/>
        </w:rPr>
        <w:t xml:space="preserve"> державного </w:t>
      </w:r>
      <w:proofErr w:type="spellStart"/>
      <w:r w:rsidRPr="005129A3">
        <w:rPr>
          <w:rFonts w:ascii="Times New Roman" w:eastAsia="Times New Roman" w:hAnsi="Times New Roman" w:cs="Times New Roman"/>
          <w:sz w:val="21"/>
          <w:szCs w:val="21"/>
          <w:lang w:eastAsia="uk-UA"/>
        </w:rPr>
        <w:t>замовника</w:t>
      </w:r>
      <w:proofErr w:type="spellEnd"/>
      <w:r w:rsidRPr="005129A3">
        <w:rPr>
          <w:rFonts w:ascii="Times New Roman" w:eastAsia="Times New Roman" w:hAnsi="Times New Roman" w:cs="Times New Roman"/>
          <w:sz w:val="21"/>
          <w:szCs w:val="21"/>
          <w:lang w:eastAsia="uk-UA"/>
        </w:rPr>
        <w:t>;</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8"/>
      <w:bookmarkEnd w:id="6"/>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якісного</w:t>
      </w:r>
      <w:proofErr w:type="spellEnd"/>
      <w:r w:rsidRPr="005129A3">
        <w:rPr>
          <w:rFonts w:ascii="Times New Roman" w:eastAsia="Times New Roman" w:hAnsi="Times New Roman" w:cs="Times New Roman"/>
          <w:sz w:val="21"/>
          <w:szCs w:val="21"/>
          <w:lang w:eastAsia="uk-UA"/>
        </w:rPr>
        <w:t xml:space="preserve"> стану предмета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призведе</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59"/>
      <w:bookmarkEnd w:id="7"/>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дії</w:t>
      </w:r>
      <w:proofErr w:type="spellEnd"/>
      <w:r w:rsidRPr="005129A3">
        <w:rPr>
          <w:rFonts w:ascii="Times New Roman" w:eastAsia="Times New Roman" w:hAnsi="Times New Roman" w:cs="Times New Roman"/>
          <w:sz w:val="21"/>
          <w:szCs w:val="21"/>
          <w:lang w:eastAsia="uk-UA"/>
        </w:rPr>
        <w:t xml:space="preserve"> державного контракту (договору)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щодо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передачі</w:t>
      </w:r>
      <w:proofErr w:type="spellEnd"/>
      <w:r w:rsidRPr="005129A3">
        <w:rPr>
          <w:rFonts w:ascii="Times New Roman" w:eastAsia="Times New Roman" w:hAnsi="Times New Roman" w:cs="Times New Roman"/>
          <w:sz w:val="21"/>
          <w:szCs w:val="21"/>
          <w:lang w:eastAsia="uk-UA"/>
        </w:rPr>
        <w:t xml:space="preserve"> товару,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робіт</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послуг</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виникнення</w:t>
      </w:r>
      <w:proofErr w:type="spellEnd"/>
      <w:r w:rsidRPr="005129A3">
        <w:rPr>
          <w:rFonts w:ascii="Times New Roman" w:eastAsia="Times New Roman" w:hAnsi="Times New Roman" w:cs="Times New Roman"/>
          <w:sz w:val="21"/>
          <w:szCs w:val="21"/>
          <w:lang w:eastAsia="uk-UA"/>
        </w:rPr>
        <w:t xml:space="preserve"> документально </w:t>
      </w:r>
      <w:proofErr w:type="spellStart"/>
      <w:r w:rsidRPr="005129A3">
        <w:rPr>
          <w:rFonts w:ascii="Times New Roman" w:eastAsia="Times New Roman" w:hAnsi="Times New Roman" w:cs="Times New Roman"/>
          <w:sz w:val="21"/>
          <w:szCs w:val="21"/>
          <w:lang w:eastAsia="uk-UA"/>
        </w:rPr>
        <w:t>підтверджених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lastRenderedPageBreak/>
        <w:t>об’єктивних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спричинили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у тому </w:t>
      </w:r>
      <w:proofErr w:type="spellStart"/>
      <w:r w:rsidRPr="005129A3">
        <w:rPr>
          <w:rFonts w:ascii="Times New Roman" w:eastAsia="Times New Roman" w:hAnsi="Times New Roman" w:cs="Times New Roman"/>
          <w:sz w:val="21"/>
          <w:szCs w:val="21"/>
          <w:lang w:eastAsia="uk-UA"/>
        </w:rPr>
        <w:t>числі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непереборної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істотної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затримки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фінансування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замовником</w:t>
      </w:r>
      <w:proofErr w:type="spellEnd"/>
      <w:r w:rsidRPr="005129A3">
        <w:rPr>
          <w:rFonts w:ascii="Times New Roman" w:eastAsia="Times New Roman" w:hAnsi="Times New Roman" w:cs="Times New Roman"/>
          <w:sz w:val="21"/>
          <w:szCs w:val="21"/>
          <w:lang w:eastAsia="uk-UA"/>
        </w:rPr>
        <w:t xml:space="preserve">, -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призведуть</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0"/>
      <w:bookmarkEnd w:id="8"/>
      <w:proofErr w:type="spellStart"/>
      <w:r w:rsidRPr="005129A3">
        <w:rPr>
          <w:rFonts w:ascii="Times New Roman" w:eastAsia="Times New Roman" w:hAnsi="Times New Roman" w:cs="Times New Roman"/>
          <w:sz w:val="21"/>
          <w:szCs w:val="21"/>
          <w:lang w:eastAsia="uk-UA"/>
        </w:rPr>
        <w:t>погодження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в </w:t>
      </w:r>
      <w:proofErr w:type="spellStart"/>
      <w:r w:rsidRPr="005129A3">
        <w:rPr>
          <w:rFonts w:ascii="Times New Roman" w:eastAsia="Times New Roman" w:hAnsi="Times New Roman" w:cs="Times New Roman"/>
          <w:sz w:val="21"/>
          <w:szCs w:val="21"/>
          <w:lang w:eastAsia="uk-UA"/>
        </w:rPr>
        <w:t>бік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зменшення</w:t>
      </w:r>
      <w:proofErr w:type="spellEnd"/>
      <w:r w:rsidRPr="005129A3">
        <w:rPr>
          <w:rFonts w:ascii="Times New Roman" w:eastAsia="Times New Roman" w:hAnsi="Times New Roman" w:cs="Times New Roman"/>
          <w:sz w:val="21"/>
          <w:szCs w:val="21"/>
          <w:lang w:eastAsia="uk-UA"/>
        </w:rPr>
        <w:t xml:space="preserve"> -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встановлення</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порядку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1"/>
      <w:bookmarkEnd w:id="9"/>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ставок </w:t>
      </w:r>
      <w:proofErr w:type="spellStart"/>
      <w:r w:rsidRPr="005129A3">
        <w:rPr>
          <w:rFonts w:ascii="Times New Roman" w:eastAsia="Times New Roman" w:hAnsi="Times New Roman" w:cs="Times New Roman"/>
          <w:sz w:val="21"/>
          <w:szCs w:val="21"/>
          <w:lang w:eastAsia="uk-UA"/>
        </w:rPr>
        <w:t>податків</w:t>
      </w:r>
      <w:proofErr w:type="spellEnd"/>
      <w:r w:rsidRPr="005129A3">
        <w:rPr>
          <w:rFonts w:ascii="Times New Roman" w:eastAsia="Times New Roman" w:hAnsi="Times New Roman" w:cs="Times New Roman"/>
          <w:sz w:val="21"/>
          <w:szCs w:val="21"/>
          <w:lang w:eastAsia="uk-UA"/>
        </w:rPr>
        <w:t xml:space="preserve"> і </w:t>
      </w:r>
      <w:proofErr w:type="spellStart"/>
      <w:r w:rsidRPr="005129A3">
        <w:rPr>
          <w:rFonts w:ascii="Times New Roman" w:eastAsia="Times New Roman" w:hAnsi="Times New Roman" w:cs="Times New Roman"/>
          <w:sz w:val="21"/>
          <w:szCs w:val="21"/>
          <w:lang w:eastAsia="uk-UA"/>
        </w:rPr>
        <w:t>зборів</w:t>
      </w:r>
      <w:proofErr w:type="spellEnd"/>
      <w:r w:rsidRPr="005129A3">
        <w:rPr>
          <w:rFonts w:ascii="Times New Roman" w:eastAsia="Times New Roman" w:hAnsi="Times New Roman" w:cs="Times New Roman"/>
          <w:sz w:val="21"/>
          <w:szCs w:val="21"/>
          <w:lang w:eastAsia="uk-UA"/>
        </w:rPr>
        <w:t xml:space="preserve">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умов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таких ставок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а </w:t>
      </w:r>
      <w:proofErr w:type="spellStart"/>
      <w:r w:rsidRPr="005129A3">
        <w:rPr>
          <w:rFonts w:ascii="Times New Roman" w:eastAsia="Times New Roman" w:hAnsi="Times New Roman" w:cs="Times New Roman"/>
          <w:sz w:val="21"/>
          <w:szCs w:val="21"/>
          <w:lang w:eastAsia="uk-UA"/>
        </w:rPr>
        <w:t>також</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податкового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навантаження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внаслідок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2"/>
      <w:bookmarkEnd w:id="10"/>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згідно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законодавством</w:t>
      </w:r>
      <w:proofErr w:type="spellEnd"/>
      <w:r w:rsidRPr="005129A3">
        <w:rPr>
          <w:rFonts w:ascii="Times New Roman" w:eastAsia="Times New Roman" w:hAnsi="Times New Roman" w:cs="Times New Roman"/>
          <w:sz w:val="21"/>
          <w:szCs w:val="21"/>
          <w:lang w:eastAsia="uk-UA"/>
        </w:rPr>
        <w:t xml:space="preserve"> органами </w:t>
      </w:r>
      <w:proofErr w:type="spellStart"/>
      <w:r w:rsidRPr="005129A3">
        <w:rPr>
          <w:rFonts w:ascii="Times New Roman" w:eastAsia="Times New Roman" w:hAnsi="Times New Roman" w:cs="Times New Roman"/>
          <w:sz w:val="21"/>
          <w:szCs w:val="21"/>
          <w:lang w:eastAsia="uk-UA"/>
        </w:rPr>
        <w:t>державної</w:t>
      </w:r>
      <w:proofErr w:type="spellEnd"/>
      <w:r w:rsidRPr="005129A3">
        <w:rPr>
          <w:rFonts w:ascii="Times New Roman" w:eastAsia="Times New Roman" w:hAnsi="Times New Roman" w:cs="Times New Roman"/>
          <w:sz w:val="21"/>
          <w:szCs w:val="21"/>
          <w:lang w:eastAsia="uk-UA"/>
        </w:rPr>
        <w:t xml:space="preserve"> статистики </w:t>
      </w:r>
      <w:proofErr w:type="spellStart"/>
      <w:r w:rsidRPr="005129A3">
        <w:rPr>
          <w:rFonts w:ascii="Times New Roman" w:eastAsia="Times New Roman" w:hAnsi="Times New Roman" w:cs="Times New Roman"/>
          <w:sz w:val="21"/>
          <w:szCs w:val="21"/>
          <w:lang w:eastAsia="uk-UA"/>
        </w:rPr>
        <w:t>індексу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споживчих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розміру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мінімальної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заробітної</w:t>
      </w:r>
      <w:proofErr w:type="spellEnd"/>
      <w:r w:rsidRPr="005129A3">
        <w:rPr>
          <w:rFonts w:ascii="Times New Roman" w:eastAsia="Times New Roman" w:hAnsi="Times New Roman" w:cs="Times New Roman"/>
          <w:sz w:val="21"/>
          <w:szCs w:val="21"/>
          <w:lang w:eastAsia="uk-UA"/>
        </w:rPr>
        <w:t xml:space="preserve"> плати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прожиткового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мінімуму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курсу </w:t>
      </w:r>
      <w:proofErr w:type="spellStart"/>
      <w:r w:rsidRPr="005129A3">
        <w:rPr>
          <w:rFonts w:ascii="Times New Roman" w:eastAsia="Times New Roman" w:hAnsi="Times New Roman" w:cs="Times New Roman"/>
          <w:sz w:val="21"/>
          <w:szCs w:val="21"/>
          <w:lang w:eastAsia="uk-UA"/>
        </w:rPr>
        <w:t>іноземної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валюти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регульованих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тарифів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нормативів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середньозважених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електроенергію</w:t>
      </w:r>
      <w:proofErr w:type="spellEnd"/>
      <w:r w:rsidRPr="005129A3">
        <w:rPr>
          <w:rFonts w:ascii="Times New Roman" w:eastAsia="Times New Roman" w:hAnsi="Times New Roman" w:cs="Times New Roman"/>
          <w:sz w:val="21"/>
          <w:szCs w:val="21"/>
          <w:lang w:eastAsia="uk-UA"/>
        </w:rPr>
        <w:t xml:space="preserve"> </w:t>
      </w:r>
      <w:proofErr w:type="gramStart"/>
      <w:r w:rsidRPr="005129A3">
        <w:rPr>
          <w:rFonts w:ascii="Times New Roman" w:eastAsia="Times New Roman" w:hAnsi="Times New Roman" w:cs="Times New Roman"/>
          <w:sz w:val="21"/>
          <w:szCs w:val="21"/>
          <w:lang w:eastAsia="uk-UA"/>
        </w:rPr>
        <w:t xml:space="preserve">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w:t>
      </w:r>
      <w:proofErr w:type="gramEnd"/>
      <w:r w:rsidRPr="005129A3">
        <w:rPr>
          <w:rFonts w:ascii="Times New Roman" w:eastAsia="Times New Roman" w:hAnsi="Times New Roman" w:cs="Times New Roman"/>
          <w:sz w:val="21"/>
          <w:szCs w:val="21"/>
          <w:lang w:eastAsia="uk-UA"/>
        </w:rPr>
        <w:t xml:space="preserve">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1" w:name="n63"/>
      <w:bookmarkEnd w:id="11"/>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було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змінено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технологічні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інженерні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рішення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дають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можливість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отримати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результати</w:t>
      </w:r>
      <w:proofErr w:type="spellEnd"/>
      <w:r w:rsidRPr="005129A3">
        <w:rPr>
          <w:rFonts w:ascii="Times New Roman" w:eastAsia="Times New Roman" w:hAnsi="Times New Roman" w:cs="Times New Roman"/>
          <w:sz w:val="21"/>
          <w:szCs w:val="21"/>
          <w:lang w:eastAsia="uk-UA"/>
        </w:rPr>
        <w:t xml:space="preserve">, та </w:t>
      </w:r>
      <w:proofErr w:type="spellStart"/>
      <w:r w:rsidRPr="005129A3">
        <w:rPr>
          <w:rFonts w:ascii="Times New Roman" w:eastAsia="Times New Roman" w:hAnsi="Times New Roman" w:cs="Times New Roman"/>
          <w:sz w:val="21"/>
          <w:szCs w:val="21"/>
          <w:lang w:eastAsia="uk-UA"/>
        </w:rPr>
        <w:t>параметри</w:t>
      </w:r>
      <w:proofErr w:type="spellEnd"/>
      <w:r w:rsidRPr="005129A3">
        <w:rPr>
          <w:rFonts w:ascii="Times New Roman" w:eastAsia="Times New Roman" w:hAnsi="Times New Roman" w:cs="Times New Roman"/>
          <w:sz w:val="21"/>
          <w:szCs w:val="21"/>
          <w:lang w:eastAsia="uk-UA"/>
        </w:rPr>
        <w:t xml:space="preserve"> предмета державного контракту (договору)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підтверджуються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відповідними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обґрунтуваннями</w:t>
      </w:r>
      <w:proofErr w:type="spellEnd"/>
      <w:r w:rsidRPr="005129A3">
        <w:rPr>
          <w:rFonts w:ascii="Times New Roman" w:eastAsia="Times New Roman" w:hAnsi="Times New Roman" w:cs="Times New Roman"/>
          <w:sz w:val="21"/>
          <w:szCs w:val="21"/>
          <w:lang w:eastAsia="uk-UA"/>
        </w:rPr>
        <w:t>.</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1"/>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 xml:space="preserve">Невід’ємною частиною цього </w:t>
      </w:r>
      <w:proofErr w:type="spellStart"/>
      <w:r w:rsidRPr="005129A3">
        <w:rPr>
          <w:rFonts w:ascii="Times New Roman" w:eastAsia="Times New Roman" w:hAnsi="Times New Roman" w:cs="Times New Roman"/>
          <w:sz w:val="21"/>
          <w:szCs w:val="21"/>
          <w:lang w:val="uk-UA" w:eastAsia="ru-RU"/>
        </w:rPr>
        <w:t>Договорує</w:t>
      </w:r>
      <w:proofErr w:type="spellEnd"/>
      <w:r w:rsidRPr="005129A3">
        <w:rPr>
          <w:rFonts w:ascii="Times New Roman" w:eastAsia="Times New Roman" w:hAnsi="Times New Roman" w:cs="Times New Roman"/>
          <w:sz w:val="21"/>
          <w:szCs w:val="21"/>
          <w:lang w:val="uk-UA" w:eastAsia="ru-RU"/>
        </w:rPr>
        <w:t>:</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5129A3">
        <w:rPr>
          <w:rFonts w:ascii="Times New Roman" w:eastAsia="Times New Roman" w:hAnsi="Times New Roman" w:cs="Times New Roman"/>
          <w:sz w:val="21"/>
          <w:szCs w:val="21"/>
          <w:lang w:val="uk-UA" w:eastAsia="ru-RU"/>
        </w:rPr>
        <w:t>арк</w:t>
      </w:r>
      <w:proofErr w:type="spellEnd"/>
      <w:r w:rsidR="00B5251C" w:rsidRPr="005129A3">
        <w:rPr>
          <w:rFonts w:ascii="Times New Roman" w:eastAsia="Times New Roman" w:hAnsi="Times New Roman" w:cs="Times New Roman"/>
          <w:sz w:val="21"/>
          <w:szCs w:val="21"/>
          <w:lang w:val="uk-UA" w:eastAsia="ru-RU"/>
        </w:rPr>
        <w:t>.</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5C414FB3" w14:textId="418AAB97"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2698D3FC" w14:textId="77777777" w:rsidTr="00AE2A86">
        <w:tc>
          <w:tcPr>
            <w:tcW w:w="4786" w:type="dxa"/>
            <w:shd w:val="clear" w:color="auto" w:fill="auto"/>
            <w:tcMar>
              <w:top w:w="0" w:type="dxa"/>
              <w:left w:w="108" w:type="dxa"/>
              <w:bottom w:w="0" w:type="dxa"/>
              <w:right w:w="108" w:type="dxa"/>
            </w:tcMar>
          </w:tcPr>
          <w:p w14:paraId="3AB8C9B8"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74B96DCF" w14:textId="651D93B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08B6887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63232C0" w14:textId="77777777" w:rsidTr="00AE2A86">
        <w:tc>
          <w:tcPr>
            <w:tcW w:w="4786" w:type="dxa"/>
            <w:shd w:val="clear" w:color="auto" w:fill="auto"/>
            <w:tcMar>
              <w:top w:w="0" w:type="dxa"/>
              <w:left w:w="108" w:type="dxa"/>
              <w:bottom w:w="0" w:type="dxa"/>
              <w:right w:w="108" w:type="dxa"/>
            </w:tcMar>
          </w:tcPr>
          <w:p w14:paraId="50093327"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0BFC3963"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5692DC2D" w14:textId="77777777" w:rsidTr="00AE2A86">
        <w:tc>
          <w:tcPr>
            <w:tcW w:w="4786" w:type="dxa"/>
            <w:shd w:val="clear" w:color="auto" w:fill="auto"/>
            <w:tcMar>
              <w:top w:w="0" w:type="dxa"/>
              <w:left w:w="108" w:type="dxa"/>
              <w:bottom w:w="0" w:type="dxa"/>
              <w:right w:w="108" w:type="dxa"/>
            </w:tcMar>
          </w:tcPr>
          <w:p w14:paraId="2ED1DAE6"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43C779A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146CBAC" w14:textId="247FE7C5"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17823E99"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11046B"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352BF4EA" w14:textId="7660AD8D" w:rsidR="00CF219B" w:rsidRDefault="006B72F6" w:rsidP="00CF219B">
      <w:pPr>
        <w:pStyle w:val="Standard"/>
        <w:spacing w:after="0" w:line="240" w:lineRule="auto"/>
        <w:ind w:right="-1"/>
        <w:jc w:val="center"/>
        <w:rPr>
          <w:rFonts w:ascii="Times New Roman" w:hAnsi="Times New Roman"/>
          <w:sz w:val="21"/>
          <w:szCs w:val="21"/>
          <w:lang w:val="uk-UA"/>
        </w:rPr>
      </w:pPr>
      <w:r w:rsidRPr="006B72F6">
        <w:rPr>
          <w:rFonts w:ascii="Times New Roman" w:hAnsi="Times New Roman"/>
          <w:sz w:val="21"/>
          <w:szCs w:val="21"/>
          <w:lang w:val="uk-UA"/>
        </w:rPr>
        <w:t>44110000-4 Конструкційні матеріали</w:t>
      </w:r>
    </w:p>
    <w:p w14:paraId="75EEE930" w14:textId="77777777" w:rsidR="006B72F6" w:rsidRPr="005129A3" w:rsidRDefault="006B72F6"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2"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CF219B" w:rsidRPr="005129A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5129A3"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3" w:name="_Hlk132720890"/>
            <w:r w:rsidRPr="005129A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3C9863B6" w:rsidR="00CF219B" w:rsidRPr="005129A3" w:rsidRDefault="006B72F6" w:rsidP="00AE2A86">
            <w:pPr>
              <w:spacing w:after="0" w:line="240" w:lineRule="auto"/>
              <w:jc w:val="center"/>
              <w:rPr>
                <w:rFonts w:ascii="Times New Roman" w:hAnsi="Times New Roman" w:cs="Times New Roman"/>
                <w:sz w:val="21"/>
                <w:szCs w:val="21"/>
                <w:lang w:val="uk-UA"/>
              </w:rPr>
            </w:pPr>
            <w:r w:rsidRPr="006B72F6">
              <w:rPr>
                <w:rFonts w:ascii="Times New Roman" w:hAnsi="Times New Roman"/>
                <w:color w:val="000000"/>
                <w:sz w:val="21"/>
                <w:szCs w:val="21"/>
                <w:lang w:val="uk-UA"/>
              </w:rPr>
              <w:t>44110000-4 Конструкційні матеріали</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1EAF0EA9" w:rsidR="00CF219B" w:rsidRPr="005129A3" w:rsidRDefault="006B72F6" w:rsidP="00AE2A86">
            <w:pPr>
              <w:spacing w:after="0" w:line="240" w:lineRule="auto"/>
              <w:jc w:val="both"/>
              <w:rPr>
                <w:rFonts w:ascii="Times New Roman" w:hAnsi="Times New Roman" w:cs="Times New Roman"/>
                <w:color w:val="000000"/>
                <w:sz w:val="21"/>
                <w:szCs w:val="21"/>
                <w:lang w:val="uk-UA"/>
              </w:rPr>
            </w:pPr>
            <w:r w:rsidRPr="006B72F6">
              <w:rPr>
                <w:rFonts w:ascii="Times New Roman" w:hAnsi="Times New Roman"/>
                <w:color w:val="000000"/>
                <w:sz w:val="21"/>
                <w:szCs w:val="21"/>
                <w:lang w:val="uk-UA"/>
              </w:rPr>
              <w:t xml:space="preserve">Модульні плити для підлоги з ПВХ "Павук" посилені 730*730*22 мм </w:t>
            </w: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3E02879B" w:rsidR="00CF219B" w:rsidRPr="005129A3" w:rsidRDefault="006B72F6" w:rsidP="00D0595D">
            <w:pPr>
              <w:spacing w:after="0" w:line="240" w:lineRule="auto"/>
              <w:ind w:left="-121" w:right="-99"/>
              <w:jc w:val="center"/>
              <w:rPr>
                <w:rFonts w:ascii="Times New Roman" w:hAnsi="Times New Roman" w:cs="Times New Roman"/>
                <w:color w:val="000000"/>
                <w:sz w:val="21"/>
                <w:szCs w:val="21"/>
                <w:lang w:val="uk-UA"/>
              </w:rPr>
            </w:pPr>
            <w:r>
              <w:rPr>
                <w:rFonts w:ascii="Times New Roman" w:hAnsi="Times New Roman"/>
                <w:color w:val="000000"/>
                <w:sz w:val="21"/>
                <w:szCs w:val="21"/>
                <w:lang w:val="uk-UA"/>
              </w:rPr>
              <w:t>500</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485DB9FC" w:rsidR="00CF219B" w:rsidRPr="005129A3" w:rsidRDefault="006B72F6" w:rsidP="00AE2A86">
            <w:pPr>
              <w:spacing w:after="0" w:line="240" w:lineRule="auto"/>
              <w:ind w:left="-110" w:right="-111"/>
              <w:jc w:val="center"/>
              <w:rPr>
                <w:rFonts w:ascii="Times New Roman" w:hAnsi="Times New Roman" w:cs="Times New Roman"/>
                <w:color w:val="000000"/>
                <w:sz w:val="21"/>
                <w:szCs w:val="21"/>
                <w:lang w:val="uk-UA"/>
              </w:rPr>
            </w:pPr>
            <w:r w:rsidRPr="006B72F6">
              <w:rPr>
                <w:rFonts w:ascii="Times New Roman" w:hAnsi="Times New Roman" w:cs="Times New Roman"/>
                <w:color w:val="000000"/>
                <w:sz w:val="21"/>
                <w:szCs w:val="21"/>
                <w:lang w:val="uk-UA"/>
              </w:rPr>
              <w:t>м</w:t>
            </w:r>
            <w:r w:rsidRPr="006B72F6">
              <w:rPr>
                <w:rFonts w:ascii="Times New Roman" w:hAnsi="Times New Roman" w:cs="Times New Roman"/>
                <w:color w:val="000000"/>
                <w:sz w:val="21"/>
                <w:szCs w:val="21"/>
                <w:vertAlign w:val="superscript"/>
                <w:lang w:val="uk-UA"/>
              </w:rPr>
              <w:t>2</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5129A3"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5129A3" w:rsidRDefault="00CF219B" w:rsidP="00AE2A86">
            <w:pPr>
              <w:spacing w:after="0" w:line="240" w:lineRule="auto"/>
              <w:ind w:left="-108" w:right="-117"/>
              <w:jc w:val="center"/>
              <w:rPr>
                <w:rFonts w:ascii="Times New Roman" w:hAnsi="Times New Roman" w:cs="Times New Roman"/>
                <w:sz w:val="21"/>
                <w:szCs w:val="21"/>
                <w:lang w:val="uk-UA"/>
              </w:rPr>
            </w:pPr>
          </w:p>
        </w:tc>
      </w:tr>
      <w:bookmarkEnd w:id="13"/>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0B6C3F8D"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2"/>
    <w:p w14:paraId="3304424A" w14:textId="77777777"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07CE3D7" w14:textId="059BB3C0"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63C50194" w14:textId="414B6F5E"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066454F0" w14:textId="77777777" w:rsidTr="00AE2A86">
        <w:tc>
          <w:tcPr>
            <w:tcW w:w="4786" w:type="dxa"/>
            <w:shd w:val="clear" w:color="auto" w:fill="auto"/>
            <w:tcMar>
              <w:top w:w="0" w:type="dxa"/>
              <w:left w:w="108" w:type="dxa"/>
              <w:bottom w:w="0" w:type="dxa"/>
              <w:right w:w="108" w:type="dxa"/>
            </w:tcMar>
          </w:tcPr>
          <w:p w14:paraId="2FB498AA"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307A9E2C" w14:textId="37862134"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6B12C40A"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3DC6958F" w14:textId="05FC3FD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548011D0" w14:textId="77777777" w:rsidTr="00AE2A86">
        <w:tc>
          <w:tcPr>
            <w:tcW w:w="4786" w:type="dxa"/>
            <w:shd w:val="clear" w:color="auto" w:fill="auto"/>
            <w:tcMar>
              <w:top w:w="0" w:type="dxa"/>
              <w:left w:w="108" w:type="dxa"/>
              <w:bottom w:w="0" w:type="dxa"/>
              <w:right w:w="108" w:type="dxa"/>
            </w:tcMar>
          </w:tcPr>
          <w:p w14:paraId="521B2153"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75DA5872"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4F82E4EE" w14:textId="77777777" w:rsidTr="00AE2A86">
        <w:tc>
          <w:tcPr>
            <w:tcW w:w="4786" w:type="dxa"/>
            <w:shd w:val="clear" w:color="auto" w:fill="auto"/>
            <w:tcMar>
              <w:top w:w="0" w:type="dxa"/>
              <w:left w:w="108" w:type="dxa"/>
              <w:bottom w:w="0" w:type="dxa"/>
              <w:right w:w="108" w:type="dxa"/>
            </w:tcMar>
          </w:tcPr>
          <w:p w14:paraId="503830E7"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16B8EDAE"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09A7004A" w14:textId="77777777" w:rsidTr="00AE2A86">
        <w:trPr>
          <w:trHeight w:val="90"/>
        </w:trPr>
        <w:tc>
          <w:tcPr>
            <w:tcW w:w="4786" w:type="dxa"/>
            <w:shd w:val="clear" w:color="auto" w:fill="auto"/>
            <w:tcMar>
              <w:top w:w="0" w:type="dxa"/>
              <w:left w:w="108" w:type="dxa"/>
              <w:bottom w:w="0" w:type="dxa"/>
              <w:right w:w="108" w:type="dxa"/>
            </w:tcMar>
          </w:tcPr>
          <w:p w14:paraId="6B956B8E"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5E4C1268"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02A8116" w14:textId="3929FB04"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5129A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2B47DF2C" w:rsidR="005129A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7F497485" w14:textId="77777777" w:rsidR="000E0CCF" w:rsidRDefault="000E0CCF"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lastRenderedPageBreak/>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77777777"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2023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B083BCF" w:rsidR="00285866" w:rsidRPr="005129A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5129A3">
        <w:rPr>
          <w:rFonts w:ascii="Times New Roman" w:eastAsia="Times New Roman" w:hAnsi="Times New Roman"/>
          <w:bCs/>
          <w:color w:val="000000"/>
          <w:sz w:val="21"/>
          <w:szCs w:val="21"/>
          <w:lang w:val="uk-UA" w:eastAsia="uk-UA"/>
        </w:rPr>
        <w:t>З</w:t>
      </w:r>
      <w:r w:rsidR="00285866" w:rsidRPr="005129A3">
        <w:rPr>
          <w:rFonts w:ascii="Times New Roman" w:eastAsia="Times New Roman" w:hAnsi="Times New Roman"/>
          <w:bCs/>
          <w:color w:val="000000"/>
          <w:sz w:val="21"/>
          <w:szCs w:val="21"/>
          <w:lang w:val="uk-UA" w:eastAsia="uk-UA"/>
        </w:rPr>
        <w:t xml:space="preserve"> метою визначення ціни Товару, передбаченого до поставки за Договором від «___» ___________ 2023 р. № ___ </w:t>
      </w:r>
      <w:r w:rsidR="00285866" w:rsidRPr="005129A3">
        <w:rPr>
          <w:rFonts w:ascii="Times New Roman" w:hAnsi="Times New Roman"/>
          <w:color w:val="000000" w:themeColor="text1"/>
          <w:sz w:val="21"/>
          <w:szCs w:val="21"/>
          <w:lang w:val="uk-UA" w:eastAsia="zh-CN"/>
        </w:rPr>
        <w:t xml:space="preserve">укладеним з військовою частиною А0598 на 2023 рік, </w:t>
      </w:r>
      <w:r w:rsidR="00631ABA">
        <w:rPr>
          <w:rFonts w:ascii="Times New Roman" w:hAnsi="Times New Roman"/>
          <w:color w:val="000000" w:themeColor="text1"/>
          <w:sz w:val="21"/>
          <w:szCs w:val="21"/>
          <w:lang w:val="uk-UA" w:eastAsia="zh-CN"/>
        </w:rPr>
        <w:t>_________________________________</w:t>
      </w:r>
      <w:r w:rsidR="00285866" w:rsidRPr="005129A3">
        <w:rPr>
          <w:rFonts w:ascii="Times New Roman" w:hAnsi="Times New Roman"/>
          <w:color w:val="000000" w:themeColor="text1"/>
          <w:sz w:val="21"/>
          <w:szCs w:val="21"/>
          <w:lang w:val="uk-UA" w:eastAsia="zh-CN"/>
        </w:rPr>
        <w:t xml:space="preserve"> </w:t>
      </w:r>
      <w:r w:rsidR="00285866" w:rsidRPr="005129A3">
        <w:rPr>
          <w:rFonts w:ascii="Times New Roman" w:eastAsia="Times New Roman" w:hAnsi="Times New Roman"/>
          <w:bCs/>
          <w:color w:val="000000"/>
          <w:sz w:val="21"/>
          <w:szCs w:val="21"/>
          <w:lang w:val="uk-UA" w:eastAsia="uk-UA"/>
        </w:rPr>
        <w:t>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proofErr w:type="spellStart"/>
            <w:r w:rsidRPr="005129A3">
              <w:rPr>
                <w:rFonts w:ascii="Times New Roman" w:eastAsia="Calibri" w:hAnsi="Times New Roman" w:cs="Times New Roman"/>
                <w:color w:val="000000" w:themeColor="text1"/>
                <w:sz w:val="21"/>
                <w:szCs w:val="21"/>
                <w:lang w:eastAsia="uk-UA"/>
              </w:rPr>
              <w:t>Найменування</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статті</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калькуляції</w:t>
            </w:r>
            <w:proofErr w:type="spellEnd"/>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77777777"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Ціна реалізації Товару без ПДВ</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4DB218D4" w14:textId="3F006D55"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07DF2CA4" w14:textId="0E6F1E1D"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675DD614" w14:textId="77777777" w:rsidTr="00AE2A86">
        <w:tc>
          <w:tcPr>
            <w:tcW w:w="4786" w:type="dxa"/>
            <w:shd w:val="clear" w:color="auto" w:fill="auto"/>
            <w:tcMar>
              <w:top w:w="0" w:type="dxa"/>
              <w:left w:w="108" w:type="dxa"/>
              <w:bottom w:w="0" w:type="dxa"/>
              <w:right w:w="108" w:type="dxa"/>
            </w:tcMar>
          </w:tcPr>
          <w:p w14:paraId="2C7249CE" w14:textId="777777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р/р UA278201720343190003000001446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48D5DF5B" w14:textId="7B6D556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МФО 820172</w:t>
            </w:r>
          </w:p>
          <w:p w14:paraId="4FE68FC8"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257747" w14:textId="57E2F5E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8ED8673" w14:textId="77777777" w:rsidTr="00AE2A86">
        <w:tc>
          <w:tcPr>
            <w:tcW w:w="4786" w:type="dxa"/>
            <w:shd w:val="clear" w:color="auto" w:fill="auto"/>
            <w:tcMar>
              <w:top w:w="0" w:type="dxa"/>
              <w:left w:w="108" w:type="dxa"/>
              <w:bottom w:w="0" w:type="dxa"/>
              <w:right w:w="108" w:type="dxa"/>
            </w:tcMar>
          </w:tcPr>
          <w:p w14:paraId="15EA9DB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64B0AD19"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6102ACD7" w14:textId="77777777" w:rsidTr="00AE2A86">
        <w:tc>
          <w:tcPr>
            <w:tcW w:w="4786" w:type="dxa"/>
            <w:shd w:val="clear" w:color="auto" w:fill="auto"/>
            <w:tcMar>
              <w:top w:w="0" w:type="dxa"/>
              <w:left w:w="108" w:type="dxa"/>
              <w:bottom w:w="0" w:type="dxa"/>
              <w:right w:w="108" w:type="dxa"/>
            </w:tcMar>
          </w:tcPr>
          <w:p w14:paraId="7B4BD8F8"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27CF913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4E5EC15B" w14:textId="77777777" w:rsidTr="00AE2A86">
        <w:trPr>
          <w:trHeight w:val="90"/>
        </w:trPr>
        <w:tc>
          <w:tcPr>
            <w:tcW w:w="4786" w:type="dxa"/>
            <w:shd w:val="clear" w:color="auto" w:fill="auto"/>
            <w:tcMar>
              <w:top w:w="0" w:type="dxa"/>
              <w:left w:w="108" w:type="dxa"/>
              <w:bottom w:w="0" w:type="dxa"/>
              <w:right w:w="108" w:type="dxa"/>
            </w:tcMar>
          </w:tcPr>
          <w:p w14:paraId="3EADA758"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26F9C2BF"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AFA4610" w14:textId="3900A80A"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0E840B15"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lastRenderedPageBreak/>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77777777"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B3456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06A3BF9B"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AA505E" w:rsidRPr="005129A3">
        <w:rPr>
          <w:rFonts w:ascii="Times New Roman" w:eastAsia="Times New Roman" w:hAnsi="Times New Roman"/>
          <w:sz w:val="21"/>
          <w:szCs w:val="21"/>
          <w:lang w:val="uk-UA" w:eastAsia="uk-UA"/>
        </w:rPr>
        <w:t xml:space="preserve"> </w:t>
      </w:r>
      <w:r w:rsidR="00082D1B" w:rsidRPr="005129A3">
        <w:rPr>
          <w:rFonts w:ascii="Times New Roman" w:eastAsia="Times New Roman" w:hAnsi="Times New Roman"/>
          <w:sz w:val="21"/>
          <w:szCs w:val="21"/>
          <w:lang w:val="uk-UA" w:eastAsia="uk-UA"/>
        </w:rPr>
        <w:t xml:space="preserve">Фізична особа-підприємець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 Статуту</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5129A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0457672"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8E1B680"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0E0CCF" w:rsidRPr="005129A3"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0E0CCF" w:rsidRPr="005129A3" w:rsidRDefault="000E0CCF" w:rsidP="000E0CCF">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2FDF626D" w:rsidR="000E0CCF" w:rsidRPr="005129A3" w:rsidRDefault="000E0CCF" w:rsidP="000E0CCF">
            <w:pPr>
              <w:spacing w:after="0" w:line="240" w:lineRule="auto"/>
              <w:jc w:val="center"/>
              <w:rPr>
                <w:rFonts w:ascii="Times New Roman" w:hAnsi="Times New Roman" w:cs="Times New Roman"/>
                <w:sz w:val="21"/>
                <w:szCs w:val="21"/>
                <w:lang w:val="uk-UA"/>
              </w:rPr>
            </w:pPr>
            <w:r w:rsidRPr="006B72F6">
              <w:rPr>
                <w:rFonts w:ascii="Times New Roman" w:hAnsi="Times New Roman"/>
                <w:color w:val="000000"/>
                <w:sz w:val="21"/>
                <w:szCs w:val="21"/>
                <w:lang w:val="uk-UA"/>
              </w:rPr>
              <w:t>44110000-4 Конструкційні матеріали</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64BB358C" w:rsidR="000E0CCF" w:rsidRPr="005129A3" w:rsidRDefault="000E0CCF" w:rsidP="000E0CCF">
            <w:pPr>
              <w:spacing w:after="0" w:line="240" w:lineRule="auto"/>
              <w:jc w:val="both"/>
              <w:rPr>
                <w:rFonts w:ascii="Times New Roman" w:hAnsi="Times New Roman" w:cs="Times New Roman"/>
                <w:color w:val="000000"/>
                <w:sz w:val="21"/>
                <w:szCs w:val="21"/>
                <w:lang w:val="uk-UA"/>
              </w:rPr>
            </w:pPr>
            <w:r w:rsidRPr="006B72F6">
              <w:rPr>
                <w:rFonts w:ascii="Times New Roman" w:hAnsi="Times New Roman"/>
                <w:color w:val="000000"/>
                <w:sz w:val="21"/>
                <w:szCs w:val="21"/>
                <w:lang w:val="uk-UA"/>
              </w:rPr>
              <w:t xml:space="preserve">Модульні плити для підлоги з ПВХ "Павук" посилені 730*730*22 мм </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540465D4" w:rsidR="000E0CCF" w:rsidRPr="005129A3" w:rsidRDefault="000E0CCF" w:rsidP="000E0CCF">
            <w:pPr>
              <w:spacing w:after="0" w:line="240" w:lineRule="auto"/>
              <w:ind w:left="-113" w:right="-107"/>
              <w:jc w:val="center"/>
              <w:rPr>
                <w:rFonts w:ascii="Times New Roman" w:hAnsi="Times New Roman" w:cs="Times New Roman"/>
                <w:color w:val="000000"/>
                <w:sz w:val="21"/>
                <w:szCs w:val="21"/>
                <w:lang w:val="uk-UA"/>
              </w:rPr>
            </w:pPr>
            <w:r>
              <w:rPr>
                <w:rFonts w:ascii="Times New Roman" w:hAnsi="Times New Roman"/>
                <w:color w:val="000000"/>
                <w:sz w:val="21"/>
                <w:szCs w:val="21"/>
                <w:lang w:val="uk-UA"/>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2B6B0FC4" w:rsidR="000E0CCF" w:rsidRPr="005129A3" w:rsidRDefault="000E0CCF" w:rsidP="000E0CCF">
            <w:pPr>
              <w:spacing w:after="0" w:line="240" w:lineRule="auto"/>
              <w:ind w:left="-110" w:right="-111"/>
              <w:jc w:val="center"/>
              <w:rPr>
                <w:rFonts w:ascii="Times New Roman" w:hAnsi="Times New Roman" w:cs="Times New Roman"/>
                <w:color w:val="000000"/>
                <w:sz w:val="21"/>
                <w:szCs w:val="21"/>
                <w:lang w:val="uk-UA"/>
              </w:rPr>
            </w:pPr>
            <w:r w:rsidRPr="006B72F6">
              <w:rPr>
                <w:rFonts w:ascii="Times New Roman" w:hAnsi="Times New Roman" w:cs="Times New Roman"/>
                <w:color w:val="000000"/>
                <w:sz w:val="21"/>
                <w:szCs w:val="21"/>
                <w:lang w:val="uk-UA"/>
              </w:rPr>
              <w:t>м</w:t>
            </w:r>
            <w:r w:rsidRPr="006B72F6">
              <w:rPr>
                <w:rFonts w:ascii="Times New Roman" w:hAnsi="Times New Roman" w:cs="Times New Roman"/>
                <w:color w:val="000000"/>
                <w:sz w:val="21"/>
                <w:szCs w:val="21"/>
                <w:vertAlign w:val="superscript"/>
                <w:lang w:val="uk-UA"/>
              </w:rPr>
              <w:t>2</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0E0CCF" w:rsidRPr="005129A3" w:rsidRDefault="000E0CCF" w:rsidP="000E0CCF">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0E0CCF" w:rsidRPr="005129A3" w:rsidRDefault="000E0CCF" w:rsidP="000E0CCF">
            <w:pPr>
              <w:spacing w:after="0" w:line="240" w:lineRule="auto"/>
              <w:ind w:left="-108" w:right="-117"/>
              <w:jc w:val="center"/>
              <w:rPr>
                <w:rFonts w:ascii="Times New Roman" w:hAnsi="Times New Roman" w:cs="Times New Roman"/>
                <w:sz w:val="21"/>
                <w:szCs w:val="21"/>
                <w:lang w:val="uk-UA"/>
              </w:rPr>
            </w:pPr>
          </w:p>
        </w:tc>
      </w:tr>
      <w:tr w:rsidR="0039353D" w:rsidRPr="005129A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5129A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5129A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5129A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5129A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52CEC09D" w:rsidR="0039353D" w:rsidRPr="005129A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5129A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5129A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AA505E" w:rsidRPr="005129A3">
              <w:rPr>
                <w:rFonts w:ascii="Times New Roman" w:eastAsia="Times New Roman" w:hAnsi="Times New Roman"/>
                <w:color w:val="000000"/>
                <w:sz w:val="21"/>
                <w:szCs w:val="21"/>
                <w:lang w:val="uk-UA" w:eastAsia="uk-UA"/>
              </w:rPr>
              <w:t>3</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49520118"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Pr="005129A3">
              <w:rPr>
                <w:rFonts w:ascii="Times New Roman" w:eastAsia="Times New Roman" w:hAnsi="Times New Roman"/>
                <w:sz w:val="21"/>
                <w:szCs w:val="21"/>
                <w:u w:val="single"/>
                <w:lang w:val="uk-UA" w:eastAsia="uk-UA"/>
              </w:rPr>
              <w:t>О.</w:t>
            </w:r>
            <w:r w:rsidR="002670F4">
              <w:rPr>
                <w:rFonts w:ascii="Times New Roman" w:eastAsia="Times New Roman" w:hAnsi="Times New Roman"/>
                <w:sz w:val="21"/>
                <w:szCs w:val="21"/>
                <w:u w:val="single"/>
                <w:lang w:val="uk-UA" w:eastAsia="uk-UA"/>
              </w:rPr>
              <w:t>М.</w:t>
            </w:r>
            <w:r w:rsidRPr="005129A3">
              <w:rPr>
                <w:rFonts w:ascii="Times New Roman" w:eastAsia="Times New Roman" w:hAnsi="Times New Roman"/>
                <w:sz w:val="21"/>
                <w:szCs w:val="21"/>
                <w:u w:val="single"/>
                <w:lang w:val="uk-UA" w:eastAsia="uk-UA"/>
              </w:rPr>
              <w:t>РОЖКОВ</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AA505E" w:rsidRPr="005129A3">
              <w:rPr>
                <w:rFonts w:ascii="Times New Roman" w:eastAsia="Times New Roman" w:hAnsi="Times New Roman"/>
                <w:sz w:val="21"/>
                <w:szCs w:val="21"/>
                <w:lang w:val="uk-UA" w:eastAsia="uk-UA"/>
              </w:rPr>
              <w:t>3</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0CCF"/>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4010"/>
    <w:rsid w:val="003C5374"/>
    <w:rsid w:val="003D6B81"/>
    <w:rsid w:val="003F0499"/>
    <w:rsid w:val="003F10DB"/>
    <w:rsid w:val="003F4A17"/>
    <w:rsid w:val="00412E5E"/>
    <w:rsid w:val="004141EE"/>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31ABA"/>
    <w:rsid w:val="00635D5B"/>
    <w:rsid w:val="006441F8"/>
    <w:rsid w:val="00644847"/>
    <w:rsid w:val="00650BBD"/>
    <w:rsid w:val="00654247"/>
    <w:rsid w:val="006800B0"/>
    <w:rsid w:val="006804D6"/>
    <w:rsid w:val="0068114F"/>
    <w:rsid w:val="00682F4E"/>
    <w:rsid w:val="00685D29"/>
    <w:rsid w:val="006919CC"/>
    <w:rsid w:val="006A0AC6"/>
    <w:rsid w:val="006A4837"/>
    <w:rsid w:val="006B72F6"/>
    <w:rsid w:val="006C0D6C"/>
    <w:rsid w:val="006C3E8B"/>
    <w:rsid w:val="006D20D1"/>
    <w:rsid w:val="006D3D41"/>
    <w:rsid w:val="006D7F88"/>
    <w:rsid w:val="006E4B5F"/>
    <w:rsid w:val="006F4A88"/>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B0B43"/>
    <w:rsid w:val="009D3184"/>
    <w:rsid w:val="009E5BB4"/>
    <w:rsid w:val="009E79B0"/>
    <w:rsid w:val="00A05065"/>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4D18"/>
    <w:rsid w:val="00C27E58"/>
    <w:rsid w:val="00C41B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32C"/>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и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у виносці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ий текст з від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и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Звичайний (веб)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інтервалів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ий текст з від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і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13"/>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13">
    <w:name w:val="Нижній колонтитул Знак1"/>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2">
    <w:name w:val="Strong"/>
    <w:qFormat/>
    <w:rsid w:val="00770F99"/>
    <w:rPr>
      <w:b/>
      <w:bCs/>
    </w:rPr>
  </w:style>
  <w:style w:type="character" w:customStyle="1" w:styleId="14">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5">
    <w:name w:val="Обычный1"/>
    <w:rsid w:val="00770F99"/>
    <w:pPr>
      <w:spacing w:after="0"/>
    </w:pPr>
    <w:rPr>
      <w:rFonts w:ascii="Arial" w:eastAsia="Arial" w:hAnsi="Arial" w:cs="Arial"/>
      <w:color w:val="000000"/>
      <w:lang w:eastAsia="ru-RU"/>
    </w:rPr>
  </w:style>
  <w:style w:type="paragraph" w:styleId="af3">
    <w:name w:val="Title"/>
    <w:basedOn w:val="a"/>
    <w:link w:val="af4"/>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4">
    <w:name w:val="Назва Знак"/>
    <w:basedOn w:val="a0"/>
    <w:link w:val="af3"/>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ий текст з від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и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5">
    <w:name w:val="annotation reference"/>
    <w:basedOn w:val="a0"/>
    <w:semiHidden/>
    <w:unhideWhenUsed/>
    <w:rsid w:val="00770F99"/>
    <w:rPr>
      <w:sz w:val="16"/>
      <w:szCs w:val="16"/>
    </w:rPr>
  </w:style>
  <w:style w:type="paragraph" w:styleId="af6">
    <w:name w:val="annotation text"/>
    <w:basedOn w:val="a"/>
    <w:link w:val="af7"/>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7">
    <w:name w:val="Текст примітки Знак"/>
    <w:basedOn w:val="a0"/>
    <w:link w:val="af6"/>
    <w:semiHidden/>
    <w:rsid w:val="00770F99"/>
    <w:rPr>
      <w:rFonts w:ascii="Times New Roman" w:eastAsia="Times New Roman" w:hAnsi="Times New Roman" w:cs="Times New Roman"/>
      <w:sz w:val="20"/>
      <w:szCs w:val="20"/>
      <w:lang w:val="uk-UA" w:eastAsia="uk-UA"/>
    </w:rPr>
  </w:style>
  <w:style w:type="paragraph" w:styleId="af8">
    <w:name w:val="annotation subject"/>
    <w:basedOn w:val="af6"/>
    <w:next w:val="af6"/>
    <w:link w:val="af9"/>
    <w:semiHidden/>
    <w:unhideWhenUsed/>
    <w:rsid w:val="00770F99"/>
    <w:rPr>
      <w:b/>
      <w:bCs/>
    </w:rPr>
  </w:style>
  <w:style w:type="character" w:customStyle="1" w:styleId="af9">
    <w:name w:val="Тема примітки Знак"/>
    <w:basedOn w:val="af7"/>
    <w:link w:val="af8"/>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a">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0810-6398-46A0-8BF9-FAA71EE2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5569</Words>
  <Characters>31749</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45</cp:revision>
  <cp:lastPrinted>2023-07-12T12:33:00Z</cp:lastPrinted>
  <dcterms:created xsi:type="dcterms:W3CDTF">2023-08-25T16:04:00Z</dcterms:created>
  <dcterms:modified xsi:type="dcterms:W3CDTF">2023-11-17T16:48:00Z</dcterms:modified>
</cp:coreProperties>
</file>