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7EBB828B" w14:textId="77777777" w:rsidR="00C36B30" w:rsidRPr="00C36B30" w:rsidRDefault="002830AA" w:rsidP="00C36B30">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C36B30" w:rsidRPr="00C36B30">
        <w:rPr>
          <w:rFonts w:ascii="Times New Roman" w:eastAsia="Times New Roman" w:hAnsi="Times New Roman"/>
          <w:b/>
          <w:sz w:val="24"/>
          <w:szCs w:val="24"/>
          <w:lang w:val="uk-UA" w:eastAsia="uk-UA"/>
        </w:rPr>
        <w:t xml:space="preserve">33150000-6 (Апарат штучної вентиляції легень для новонароджених) </w:t>
      </w:r>
    </w:p>
    <w:p w14:paraId="24AC8792" w14:textId="77777777" w:rsidR="00C36B30" w:rsidRDefault="00C36B30" w:rsidP="00C36B30">
      <w:pPr>
        <w:spacing w:after="0" w:line="240" w:lineRule="auto"/>
        <w:jc w:val="both"/>
        <w:rPr>
          <w:rFonts w:ascii="Times New Roman" w:eastAsia="Times New Roman" w:hAnsi="Times New Roman"/>
          <w:b/>
          <w:sz w:val="24"/>
          <w:szCs w:val="24"/>
          <w:lang w:val="uk-UA" w:eastAsia="uk-UA"/>
        </w:rPr>
      </w:pPr>
      <w:r w:rsidRPr="00C36B30">
        <w:rPr>
          <w:rFonts w:ascii="Times New Roman" w:eastAsia="Times New Roman" w:hAnsi="Times New Roman"/>
          <w:b/>
          <w:sz w:val="24"/>
          <w:szCs w:val="24"/>
          <w:lang w:val="uk-UA" w:eastAsia="uk-UA"/>
        </w:rPr>
        <w:t>НК 024:2023: 47244- Апарат штучної вентиляції легенів для інтенсивної терапії неонатальний / для дорослих</w:t>
      </w:r>
      <w:r>
        <w:rPr>
          <w:rFonts w:ascii="Times New Roman" w:eastAsia="Times New Roman" w:hAnsi="Times New Roman"/>
          <w:b/>
          <w:sz w:val="24"/>
          <w:szCs w:val="24"/>
          <w:lang w:val="uk-UA" w:eastAsia="uk-UA"/>
        </w:rPr>
        <w:t>.</w:t>
      </w:r>
    </w:p>
    <w:p w14:paraId="27F32FD5" w14:textId="2E87A408" w:rsidR="002830AA" w:rsidRPr="00AB5C5B" w:rsidRDefault="002830AA" w:rsidP="00C36B30">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4746FE0F"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AB5C5B">
        <w:rPr>
          <w:rFonts w:ascii="Times New Roman" w:hAnsi="Times New Roman"/>
          <w:sz w:val="24"/>
          <w:szCs w:val="24"/>
          <w:lang w:val="uk-UA"/>
        </w:rPr>
        <w:t>0</w:t>
      </w:r>
      <w:r w:rsidR="00077B07" w:rsidRPr="00A5789C">
        <w:rPr>
          <w:rFonts w:ascii="Times New Roman" w:hAnsi="Times New Roman"/>
          <w:sz w:val="24"/>
          <w:szCs w:val="24"/>
          <w:lang w:val="uk-UA"/>
        </w:rPr>
        <w:t>1.</w:t>
      </w:r>
      <w:r w:rsidR="00AB5C5B">
        <w:rPr>
          <w:rFonts w:ascii="Times New Roman" w:hAnsi="Times New Roman"/>
          <w:sz w:val="24"/>
          <w:szCs w:val="24"/>
          <w:lang w:val="uk-UA"/>
        </w:rPr>
        <w:t>05</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56F39D1B"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BC4049">
        <w:rPr>
          <w:rFonts w:ascii="Times New Roman" w:hAnsi="Times New Roman"/>
          <w:sz w:val="24"/>
          <w:szCs w:val="24"/>
          <w:lang w:val="uk-UA"/>
        </w:rPr>
        <w:t>0</w:t>
      </w:r>
      <w:r w:rsidR="00300F61" w:rsidRPr="00E2358B">
        <w:rPr>
          <w:rFonts w:ascii="Times New Roman" w:hAnsi="Times New Roman"/>
          <w:sz w:val="24"/>
          <w:szCs w:val="24"/>
          <w:lang w:val="uk-UA"/>
        </w:rPr>
        <w:t>1.</w:t>
      </w:r>
      <w:r w:rsidR="00182183">
        <w:rPr>
          <w:rFonts w:ascii="Times New Roman" w:hAnsi="Times New Roman"/>
          <w:sz w:val="24"/>
          <w:szCs w:val="24"/>
          <w:lang w:val="uk-UA"/>
        </w:rPr>
        <w:t>05</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588706">
    <w:abstractNumId w:val="15"/>
  </w:num>
  <w:num w:numId="2" w16cid:durableId="22245610">
    <w:abstractNumId w:val="19"/>
  </w:num>
  <w:num w:numId="3" w16cid:durableId="58019754">
    <w:abstractNumId w:val="11"/>
  </w:num>
  <w:num w:numId="4" w16cid:durableId="1741176913">
    <w:abstractNumId w:val="24"/>
  </w:num>
  <w:num w:numId="5" w16cid:durableId="1896119305">
    <w:abstractNumId w:val="20"/>
  </w:num>
  <w:num w:numId="6" w16cid:durableId="64762156">
    <w:abstractNumId w:val="31"/>
  </w:num>
  <w:num w:numId="7" w16cid:durableId="901019121">
    <w:abstractNumId w:val="10"/>
  </w:num>
  <w:num w:numId="8" w16cid:durableId="82845723">
    <w:abstractNumId w:val="30"/>
  </w:num>
  <w:num w:numId="9" w16cid:durableId="216085466">
    <w:abstractNumId w:val="29"/>
  </w:num>
  <w:num w:numId="10" w16cid:durableId="506024861">
    <w:abstractNumId w:val="26"/>
  </w:num>
  <w:num w:numId="11" w16cid:durableId="1353650553">
    <w:abstractNumId w:val="25"/>
  </w:num>
  <w:num w:numId="12" w16cid:durableId="1106735301">
    <w:abstractNumId w:val="2"/>
  </w:num>
  <w:num w:numId="13" w16cid:durableId="195849175">
    <w:abstractNumId w:val="3"/>
  </w:num>
  <w:num w:numId="14" w16cid:durableId="262500184">
    <w:abstractNumId w:val="4"/>
  </w:num>
  <w:num w:numId="15" w16cid:durableId="1741168476">
    <w:abstractNumId w:val="5"/>
  </w:num>
  <w:num w:numId="16" w16cid:durableId="1618365661">
    <w:abstractNumId w:val="6"/>
  </w:num>
  <w:num w:numId="17" w16cid:durableId="578488387">
    <w:abstractNumId w:val="7"/>
  </w:num>
  <w:num w:numId="18" w16cid:durableId="1738016181">
    <w:abstractNumId w:val="8"/>
  </w:num>
  <w:num w:numId="19" w16cid:durableId="906650789">
    <w:abstractNumId w:val="9"/>
  </w:num>
  <w:num w:numId="20" w16cid:durableId="714695670">
    <w:abstractNumId w:val="21"/>
  </w:num>
  <w:num w:numId="21" w16cid:durableId="1034770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10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5265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0437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18314">
    <w:abstractNumId w:val="18"/>
  </w:num>
  <w:num w:numId="26" w16cid:durableId="1967620047">
    <w:abstractNumId w:val="27"/>
  </w:num>
  <w:num w:numId="27" w16cid:durableId="1698503667">
    <w:abstractNumId w:val="0"/>
  </w:num>
  <w:num w:numId="28" w16cid:durableId="932670293">
    <w:abstractNumId w:val="28"/>
  </w:num>
  <w:num w:numId="29" w16cid:durableId="131841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2515361">
    <w:abstractNumId w:val="16"/>
  </w:num>
  <w:num w:numId="31" w16cid:durableId="1847284849">
    <w:abstractNumId w:val="13"/>
  </w:num>
  <w:num w:numId="32" w16cid:durableId="11863611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749"/>
    <w:rsid w:val="00115CE8"/>
    <w:rsid w:val="00117403"/>
    <w:rsid w:val="001210DB"/>
    <w:rsid w:val="0012721A"/>
    <w:rsid w:val="00135991"/>
    <w:rsid w:val="00142B04"/>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86302"/>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0ED3"/>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B5C5B"/>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F117E"/>
    <w:rsid w:val="00C04B2D"/>
    <w:rsid w:val="00C073A5"/>
    <w:rsid w:val="00C07DFA"/>
    <w:rsid w:val="00C2309A"/>
    <w:rsid w:val="00C23B9F"/>
    <w:rsid w:val="00C30349"/>
    <w:rsid w:val="00C31FCA"/>
    <w:rsid w:val="00C36B30"/>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431B"/>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3735</Words>
  <Characters>21291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Yuriy Knizghnik</cp:lastModifiedBy>
  <cp:revision>29</cp:revision>
  <cp:lastPrinted>2023-04-10T07:00:00Z</cp:lastPrinted>
  <dcterms:created xsi:type="dcterms:W3CDTF">2023-04-25T07:51:00Z</dcterms:created>
  <dcterms:modified xsi:type="dcterms:W3CDTF">2024-02-20T15:50:00Z</dcterms:modified>
</cp:coreProperties>
</file>