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spacing/>
        <w:ind/>
        <w:jc w:val="center"/>
        <w:rPr>
          <w:b/>
          <w:color w:val="auto"/>
          <w:highlight w:val="none"/>
        </w:rPr>
      </w:pPr>
      <w:r>
        <w:rPr>
          <w:color w:val="auto"/>
          <w:highlight w:val="none"/>
        </w:rPr>
      </w:r>
      <w:bookmarkStart w:id="0" w:name="_gjdgxs"/>
      <w:r>
        <w:rPr>
          <w:color w:val="auto"/>
          <w:highlight w:val="none"/>
        </w:rPr>
      </w:r>
      <w:bookmarkEnd w:id="0"/>
      <w:r>
        <w:rPr>
          <w:b/>
          <w:color w:val="auto"/>
          <w:highlight w:val="none"/>
        </w:rPr>
      </w:r>
      <w:r>
        <w:rPr>
          <w:b/>
          <w:color w:val="auto"/>
          <w:highlight w:val="none"/>
        </w:rPr>
      </w:r>
    </w:p>
    <w:p>
      <w:pPr>
        <w:widowControl w:val="false"/>
        <w:pBdr/>
        <w:shd w:val="clear" w:color="auto" w:fill="ffffff"/>
        <w:spacing/>
        <w:ind/>
        <w:jc w:val="center"/>
        <w:rPr>
          <w:b/>
          <w:bCs/>
          <w:smallCaps/>
          <w:color w:val="auto"/>
          <w:highlight w:val="none"/>
        </w:rPr>
      </w:pPr>
      <w:r>
        <w:rPr>
          <w:b/>
          <w:smallCaps/>
          <w:color w:val="auto"/>
          <w:highlight w:val="none"/>
        </w:rPr>
      </w:r>
      <w:r>
        <w:rPr>
          <w:b/>
          <w:bCs/>
          <w:smallCaps/>
          <w:color w:val="auto"/>
          <w:highlight w:val="none"/>
        </w:rPr>
      </w:r>
      <w:r>
        <w:rPr>
          <w:b/>
          <w:bCs/>
          <w:smallCaps/>
          <w:color w:val="auto"/>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r>
      <w:r>
        <w:rPr>
          <w:b/>
          <w:smallCaps/>
          <w:color w:val="auto"/>
          <w:sz w:val="28"/>
          <w:szCs w:val="28"/>
          <w:highlight w:val="none"/>
        </w:rPr>
        <w:t xml:space="preserve">ДЕПАРТАМЕНТ МУНІЦИПАЛЬНОЇ БЕЗПЕКИ </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t xml:space="preserve">ВИКОНАВЧОГО ОРГАНУ КИЇВСЬКОЇ МІСЬКОЇ РАДИ </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bCs/>
          <w:smallCaps/>
          <w:color w:val="auto"/>
          <w:sz w:val="28"/>
          <w:szCs w:val="28"/>
          <w:highlight w:val="none"/>
        </w:rPr>
      </w:pPr>
      <w:r>
        <w:rPr>
          <w:b/>
          <w:smallCaps/>
          <w:color w:val="auto"/>
          <w:sz w:val="28"/>
          <w:szCs w:val="28"/>
          <w:highlight w:val="none"/>
        </w:rPr>
        <w:t xml:space="preserve">(КИЇВСЬКОЇ МІСЬКОЇ ДЕРЖАВНОЇ АДМІНІСТРАЦІЇ)</w:t>
      </w:r>
      <w:r>
        <w:rPr>
          <w:b/>
          <w:bCs/>
          <w:smallCaps/>
          <w:color w:val="auto"/>
          <w:sz w:val="28"/>
          <w:szCs w:val="28"/>
          <w:highlight w:val="none"/>
        </w:rPr>
      </w:r>
      <w:r>
        <w:rPr>
          <w:b/>
          <w:bCs/>
          <w:smallCaps/>
          <w:color w:val="auto"/>
          <w:sz w:val="28"/>
          <w:szCs w:val="28"/>
          <w:highlight w:val="none"/>
        </w:rPr>
      </w:r>
    </w:p>
    <w:p>
      <w:pPr>
        <w:widowControl w:val="false"/>
        <w:pBdr/>
        <w:shd w:val="clear" w:color="auto" w:fill="ffffff"/>
        <w:spacing/>
        <w:ind/>
        <w:jc w:val="center"/>
        <w:rPr>
          <w:b/>
          <w:smallCaps/>
          <w:color w:val="auto"/>
          <w:highlight w:val="none"/>
        </w:rPr>
      </w:pPr>
      <w:r>
        <w:rPr>
          <w:b/>
          <w:smallCaps/>
          <w:color w:val="auto"/>
          <w:highlight w:val="none"/>
        </w:rPr>
      </w:r>
      <w:r>
        <w:rPr>
          <w:b/>
          <w:smallCaps/>
          <w:color w:val="auto"/>
          <w:highlight w:val="none"/>
        </w:rPr>
      </w:r>
      <w:r>
        <w:rPr>
          <w:b/>
          <w:smallCaps/>
          <w:color w:val="auto"/>
          <w:highlight w:val="none"/>
        </w:rPr>
      </w:r>
    </w:p>
    <w:p>
      <w:pPr>
        <w:widowControl w:val="false"/>
        <w:pBdr/>
        <w:shd w:val="clear" w:color="auto" w:fill="ffffff"/>
        <w:spacing/>
        <w:ind/>
        <w:jc w:val="center"/>
        <w:rPr>
          <w:color w:val="auto"/>
          <w:highlight w:val="none"/>
        </w:rPr>
      </w:pPr>
      <w:r>
        <w:rPr>
          <w:color w:val="auto"/>
          <w:highlight w:val="none"/>
        </w:rPr>
      </w:r>
      <w:r>
        <w:rPr>
          <w:color w:val="auto"/>
          <w:highlight w:val="none"/>
        </w:rPr>
      </w:r>
      <w:r>
        <w:rPr>
          <w:color w:val="auto"/>
          <w:highlight w:val="none"/>
        </w:rPr>
      </w:r>
    </w:p>
    <w:tbl>
      <w:tblPr>
        <w:tblW w:w="10310" w:type="dxa"/>
        <w:tblInd w:w="288" w:type="dxa"/>
        <w:tblBorders>
          <w:top w:val="single" w:color="000000" w:sz="4" w:space="0"/>
          <w:left w:val="single" w:color="000000" w:sz="4" w:space="0"/>
          <w:bottom w:val="single" w:color="000000" w:sz="4" w:space="0"/>
          <w:right w:val="single" w:color="000000" w:sz="4" w:space="0"/>
        </w:tblBorders>
        <w:tblLayout w:type="fixed"/>
        <w:tblLook w:val="04A0" w:firstRow="1" w:lastRow="0" w:firstColumn="1" w:lastColumn="0" w:noHBand="0" w:noVBand="1"/>
      </w:tblPr>
      <w:tblGrid>
        <w:gridCol w:w="4923"/>
        <w:gridCol w:w="5387"/>
      </w:tblGrid>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rPr>
            </w:pPr>
            <w:r>
              <w:rPr>
                <w:b w:val="0"/>
                <w:bCs/>
              </w:rPr>
            </w:r>
            <w:r>
              <w:rPr>
                <w:b w:val="0"/>
                <w:bCs/>
              </w:rPr>
            </w:r>
            <w:r>
              <w:rPr>
                <w:b w:val="0"/>
                <w:bCs/>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Cs/>
                <w:sz w:val="28"/>
                <w:szCs w:val="28"/>
              </w:rPr>
            </w:pPr>
            <w:r>
              <w:rPr>
                <w:b/>
                <w:bCs/>
                <w:sz w:val="28"/>
                <w:szCs w:val="28"/>
              </w:rPr>
              <w:t xml:space="preserve">«ЗАТВЕРДЖЕНО»</w:t>
            </w:r>
            <w:r>
              <w:rPr>
                <w:bCs/>
                <w:sz w:val="28"/>
                <w:szCs w:val="28"/>
              </w:rPr>
            </w:r>
            <w:r>
              <w:rPr>
                <w:bCs/>
                <w:sz w:val="28"/>
                <w:szCs w:val="28"/>
              </w:rPr>
            </w:r>
          </w:p>
          <w:p>
            <w:pPr>
              <w:pBdr/>
              <w:spacing/>
              <w:ind/>
              <w:jc w:val="left"/>
              <w:rPr>
                <w:b w:val="0"/>
                <w:sz w:val="28"/>
                <w:szCs w:val="28"/>
              </w:rPr>
            </w:pPr>
            <w:r>
              <w:rPr>
                <w:b w:val="0"/>
                <w:sz w:val="28"/>
                <w:szCs w:val="28"/>
              </w:rPr>
              <w:t xml:space="preserve">Протокол Уповноваженої особи  </w:t>
            </w:r>
            <w:r>
              <w:rPr>
                <w:b w:val="0"/>
                <w:sz w:val="28"/>
                <w:szCs w:val="28"/>
              </w:rPr>
            </w:r>
            <w:r>
              <w:rPr>
                <w:b w:val="0"/>
                <w:sz w:val="28"/>
                <w:szCs w:val="28"/>
              </w:rPr>
            </w:r>
          </w:p>
          <w:p>
            <w:pPr>
              <w:pBdr/>
              <w:spacing/>
              <w:ind/>
              <w:jc w:val="left"/>
              <w:rPr>
                <w:bCs/>
                <w:sz w:val="28"/>
                <w:szCs w:val="28"/>
              </w:rPr>
            </w:pPr>
            <w:r>
              <w:rPr>
                <w:b w:val="0"/>
                <w:sz w:val="28"/>
                <w:szCs w:val="28"/>
              </w:rPr>
              <w:t xml:space="preserve">від</w:t>
            </w:r>
            <w:r>
              <w:rPr>
                <w:b w:val="0"/>
                <w:sz w:val="28"/>
                <w:szCs w:val="28"/>
                <w:lang w:val="ru-RU"/>
              </w:rPr>
              <w:t xml:space="preserve"> </w:t>
            </w:r>
            <w:r>
              <w:rPr>
                <w:b w:val="0"/>
                <w:sz w:val="28"/>
                <w:szCs w:val="28"/>
                <w:lang w:val="uk-UA"/>
              </w:rPr>
              <w:t xml:space="preserve">0</w:t>
            </w:r>
            <w:r>
              <w:rPr>
                <w:b w:val="0"/>
                <w:sz w:val="28"/>
                <w:szCs w:val="28"/>
                <w:lang w:val="en-US"/>
              </w:rPr>
              <w:t xml:space="preserve">6</w:t>
            </w:r>
            <w:r>
              <w:rPr>
                <w:b w:val="0"/>
                <w:sz w:val="28"/>
                <w:szCs w:val="28"/>
              </w:rPr>
              <w:t xml:space="preserve">.</w:t>
            </w:r>
            <w:r>
              <w:rPr>
                <w:b w:val="0"/>
                <w:sz w:val="28"/>
                <w:szCs w:val="28"/>
                <w:lang w:val="ru-RU"/>
              </w:rPr>
              <w:t xml:space="preserve">1</w:t>
            </w:r>
            <w:r>
              <w:rPr>
                <w:b w:val="0"/>
                <w:sz w:val="28"/>
                <w:szCs w:val="28"/>
                <w:lang w:val="uk-UA"/>
              </w:rPr>
              <w:t xml:space="preserve">2</w:t>
            </w:r>
            <w:r>
              <w:rPr>
                <w:b w:val="0"/>
                <w:sz w:val="28"/>
                <w:szCs w:val="28"/>
              </w:rPr>
              <w:t xml:space="preserve">.2023 № 1</w:t>
            </w:r>
            <w:r>
              <w:rPr>
                <w:b w:val="0"/>
                <w:sz w:val="28"/>
                <w:szCs w:val="28"/>
                <w:lang w:val="en-US"/>
              </w:rPr>
              <w:t xml:space="preserve">10</w:t>
            </w:r>
            <w:r>
              <w:rPr>
                <w:bCs/>
                <w:sz w:val="28"/>
                <w:szCs w:val="28"/>
              </w:rPr>
            </w:r>
            <w:r>
              <w:rPr>
                <w:bCs/>
                <w:sz w:val="28"/>
                <w:szCs w:val="28"/>
              </w:rPr>
            </w:r>
          </w:p>
        </w:tc>
      </w:tr>
      <w:tr>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sz w:val="28"/>
                <w:szCs w:val="28"/>
              </w:rPr>
            </w:pPr>
            <w:r>
              <w:rPr>
                <w:b w:val="0"/>
                <w:bCs/>
                <w:sz w:val="28"/>
                <w:szCs w:val="28"/>
              </w:rPr>
              <w:t xml:space="preserve"> </w:t>
            </w:r>
            <w:r>
              <w:rPr>
                <w:b w:val="0"/>
                <w:bCs/>
                <w:sz w:val="28"/>
                <w:szCs w:val="28"/>
              </w:rPr>
            </w:r>
            <w:r>
              <w:rPr>
                <w:b w:val="0"/>
                <w:bCs/>
                <w:sz w:val="28"/>
                <w:szCs w:val="28"/>
              </w:rPr>
            </w:r>
          </w:p>
        </w:tc>
        <w:tc>
          <w:tcPr>
            <w:tcBorders>
              <w:top w:val="none" w:color="000000" w:sz="4" w:space="0"/>
              <w:left w:val="none" w:color="000000" w:sz="4" w:space="0"/>
              <w:bottom w:val="none" w:color="000000" w:sz="4" w:space="0"/>
              <w:right w:val="none" w:color="000000" w:sz="4" w:space="0"/>
            </w:tcBorders>
            <w:tcW w:w="5387" w:type="dxa"/>
            <w:textDirection w:val="lrTb"/>
            <w:noWrap w:val="false"/>
          </w:tcPr>
          <w:p>
            <w:pPr>
              <w:pBdr/>
              <w:spacing/>
              <w:ind/>
              <w:jc w:val="left"/>
              <w:rPr>
                <w:b w:val="0"/>
                <w:bCs/>
                <w:sz w:val="28"/>
                <w:szCs w:val="28"/>
              </w:rPr>
            </w:pPr>
            <w:r>
              <w:rPr>
                <w:b w:val="0"/>
                <w:bCs/>
                <w:sz w:val="28"/>
                <w:szCs w:val="28"/>
              </w:rPr>
            </w:r>
            <w:r>
              <w:rPr>
                <w:b w:val="0"/>
                <w:bCs/>
                <w:sz w:val="28"/>
                <w:szCs w:val="28"/>
              </w:rPr>
            </w:r>
            <w:r>
              <w:rPr>
                <w:b w:val="0"/>
                <w:bCs/>
                <w:sz w:val="28"/>
                <w:szCs w:val="28"/>
              </w:rPr>
            </w:r>
          </w:p>
          <w:p>
            <w:pPr>
              <w:pBdr/>
              <w:spacing/>
              <w:ind/>
              <w:jc w:val="left"/>
              <w:rPr>
                <w:b w:val="0"/>
                <w:bCs/>
                <w:sz w:val="28"/>
                <w:szCs w:val="28"/>
              </w:rPr>
            </w:pPr>
            <w:r>
              <w:rPr>
                <w:b w:val="0"/>
                <w:bCs/>
                <w:sz w:val="28"/>
                <w:szCs w:val="28"/>
              </w:rPr>
            </w:r>
            <w:r>
              <w:rPr>
                <w:b w:val="0"/>
                <w:bCs/>
                <w:sz w:val="28"/>
                <w:szCs w:val="28"/>
              </w:rPr>
            </w:r>
            <w:r>
              <w:rPr>
                <w:b w:val="0"/>
                <w:bCs/>
                <w:sz w:val="28"/>
                <w:szCs w:val="28"/>
              </w:rPr>
            </w:r>
          </w:p>
        </w:tc>
      </w:tr>
      <w:tr>
        <w:trPr>
          <w:gridAfter w:val="1"/>
        </w:trPr>
        <w:tc>
          <w:tcPr>
            <w:tcBorders>
              <w:top w:val="none" w:color="000000" w:sz="4" w:space="0"/>
              <w:left w:val="none" w:color="000000" w:sz="4" w:space="0"/>
              <w:bottom w:val="none" w:color="000000" w:sz="4" w:space="0"/>
              <w:right w:val="none" w:color="000000" w:sz="4" w:space="0"/>
            </w:tcBorders>
            <w:tcW w:w="4923" w:type="dxa"/>
            <w:textDirection w:val="lrTb"/>
            <w:noWrap w:val="false"/>
          </w:tcPr>
          <w:p>
            <w:pPr>
              <w:pBdr/>
              <w:spacing/>
              <w:ind/>
              <w:rPr>
                <w:b w:val="0"/>
                <w:bCs/>
                <w:sz w:val="28"/>
                <w:szCs w:val="28"/>
              </w:rPr>
            </w:pPr>
            <w:r>
              <w:rPr>
                <w:b w:val="0"/>
                <w:bCs/>
                <w:sz w:val="28"/>
                <w:szCs w:val="28"/>
              </w:rPr>
            </w:r>
            <w:r>
              <w:rPr>
                <w:b w:val="0"/>
                <w:bCs/>
                <w:sz w:val="28"/>
                <w:szCs w:val="28"/>
              </w:rPr>
            </w:r>
            <w:r>
              <w:rPr>
                <w:b w:val="0"/>
                <w:bCs/>
                <w:sz w:val="28"/>
                <w:szCs w:val="28"/>
              </w:rPr>
            </w:r>
          </w:p>
        </w:tc>
      </w:tr>
    </w:tbl>
    <w:p>
      <w:pPr>
        <w:widowControl w:val="false"/>
        <w:pBdr/>
        <w:shd w:val="clear" w:color="auto" w:fill="ffffff"/>
        <w:spacing/>
        <w:ind/>
        <w:jc w:val="center"/>
        <w:rPr>
          <w:color w:val="auto"/>
          <w:highlight w:val="none"/>
        </w:rPr>
      </w:pPr>
      <w:r>
        <w:rPr>
          <w:color w:val="auto"/>
          <w:highlight w:val="none"/>
        </w:rPr>
      </w:r>
      <w:r>
        <w:rPr>
          <w:color w:val="auto"/>
          <w:highlight w:val="none"/>
        </w:rPr>
      </w:r>
      <w:r>
        <w:rPr>
          <w:color w:val="auto"/>
          <w:highlight w:val="none"/>
        </w:rPr>
      </w:r>
    </w:p>
    <w:p>
      <w:pPr>
        <w:widowControl w:val="false"/>
        <w:pBdr/>
        <w:spacing/>
        <w:ind/>
        <w:rPr>
          <w:b/>
          <w:color w:val="auto"/>
          <w:sz w:val="28"/>
          <w:szCs w:val="28"/>
          <w:highlight w:val="none"/>
        </w:rPr>
      </w:pPr>
      <w:r>
        <w:rPr>
          <w:b/>
          <w:color w:val="auto"/>
          <w:sz w:val="28"/>
          <w:szCs w:val="28"/>
          <w:highlight w:val="none"/>
        </w:rPr>
      </w:r>
      <w:r>
        <w:rPr>
          <w:b/>
          <w:color w:val="auto"/>
          <w:sz w:val="28"/>
          <w:szCs w:val="28"/>
          <w:highlight w:val="none"/>
        </w:rPr>
      </w:r>
      <w:r>
        <w:rPr>
          <w:b/>
          <w:color w:val="auto"/>
          <w:sz w:val="28"/>
          <w:szCs w:val="28"/>
          <w:highlight w:val="none"/>
        </w:rPr>
      </w:r>
    </w:p>
    <w:p>
      <w:pPr>
        <w:widowControl w:val="false"/>
        <w:pBdr/>
        <w:spacing/>
        <w:ind/>
        <w:rPr>
          <w:b/>
          <w:color w:val="auto"/>
          <w:sz w:val="28"/>
          <w:szCs w:val="28"/>
          <w:highlight w:val="none"/>
        </w:rPr>
      </w:pPr>
      <w:r>
        <w:rPr>
          <w:b/>
          <w:color w:val="auto"/>
          <w:sz w:val="28"/>
          <w:szCs w:val="28"/>
          <w:highlight w:val="none"/>
        </w:rPr>
      </w:r>
      <w:r>
        <w:rPr>
          <w:b/>
          <w:color w:val="auto"/>
          <w:sz w:val="28"/>
          <w:szCs w:val="28"/>
          <w:highlight w:val="none"/>
        </w:rPr>
      </w:r>
      <w:r>
        <w:rPr>
          <w:b/>
          <w:color w:val="auto"/>
          <w:sz w:val="28"/>
          <w:szCs w:val="28"/>
          <w:highlight w:val="none"/>
        </w:rPr>
      </w:r>
    </w:p>
    <w:p>
      <w:pPr>
        <w:widowControl w:val="false"/>
        <w:pBdr/>
        <w:spacing/>
        <w:ind/>
        <w:rPr>
          <w:b/>
          <w:color w:val="auto"/>
          <w:highlight w:val="none"/>
        </w:rPr>
      </w:pPr>
      <w:r>
        <w:rPr>
          <w:b/>
          <w:color w:val="auto"/>
          <w:highlight w:val="none"/>
        </w:rPr>
      </w:r>
      <w:r>
        <w:rPr>
          <w:b/>
          <w:color w:val="auto"/>
          <w:highlight w:val="none"/>
        </w:rPr>
      </w:r>
      <w:r>
        <w:rPr>
          <w:b/>
          <w:color w:val="auto"/>
          <w:highlight w:val="none"/>
        </w:rPr>
      </w:r>
    </w:p>
    <w:p>
      <w:pPr>
        <w:widowControl w:val="false"/>
        <w:pBdr/>
        <w:spacing/>
        <w:ind/>
        <w:rPr>
          <w:b/>
          <w:color w:val="auto"/>
          <w:highlight w:val="none"/>
        </w:rPr>
      </w:pPr>
      <w:r>
        <w:rPr>
          <w:b/>
          <w:color w:val="auto"/>
          <w:highlight w:val="none"/>
        </w:rPr>
      </w:r>
      <w:r>
        <w:rPr>
          <w:b/>
          <w:color w:val="auto"/>
          <w:highlight w:val="none"/>
        </w:rPr>
      </w:r>
      <w:r>
        <w:rPr>
          <w:b/>
          <w:color w:val="auto"/>
          <w:highlight w:val="none"/>
        </w:rPr>
      </w:r>
    </w:p>
    <w:p>
      <w:pPr>
        <w:pBdr/>
        <w:spacing/>
        <w:ind w:left="320"/>
        <w:jc w:val="center"/>
        <w:rPr>
          <w:sz w:val="36"/>
          <w:szCs w:val="36"/>
        </w:rPr>
      </w:pPr>
      <w:r>
        <w:rPr>
          <w:b/>
          <w:bCs/>
          <w:sz w:val="36"/>
          <w:szCs w:val="36"/>
        </w:rPr>
        <w:t xml:space="preserve">ТЕНДЕРНА ДОКУМЕНТАЦІЯ</w:t>
      </w:r>
      <w:r>
        <w:rPr>
          <w:sz w:val="36"/>
          <w:szCs w:val="36"/>
        </w:rPr>
      </w:r>
      <w:r>
        <w:rPr>
          <w:sz w:val="36"/>
          <w:szCs w:val="36"/>
        </w:rPr>
      </w:r>
    </w:p>
    <w:p>
      <w:pPr>
        <w:pBdr/>
        <w:spacing/>
        <w:ind/>
        <w:jc w:val="center"/>
        <w:rPr>
          <w:b w:val="0"/>
          <w:sz w:val="32"/>
          <w:szCs w:val="32"/>
        </w:rPr>
      </w:pPr>
      <w:r>
        <w:rPr>
          <w:b w:val="0"/>
          <w:sz w:val="32"/>
          <w:szCs w:val="32"/>
        </w:rPr>
      </w:r>
      <w:r>
        <w:rPr>
          <w:b w:val="0"/>
          <w:sz w:val="32"/>
          <w:szCs w:val="32"/>
        </w:rPr>
      </w:r>
      <w:r>
        <w:rPr>
          <w:b w:val="0"/>
          <w:sz w:val="32"/>
          <w:szCs w:val="32"/>
        </w:rPr>
      </w:r>
    </w:p>
    <w:p>
      <w:pPr>
        <w:pBdr/>
        <w:spacing/>
        <w:ind/>
        <w:jc w:val="center"/>
        <w:rPr>
          <w:sz w:val="28"/>
          <w:szCs w:val="28"/>
        </w:rPr>
      </w:pPr>
      <w:r>
        <w:rPr>
          <w:b w:val="0"/>
          <w:sz w:val="28"/>
          <w:szCs w:val="28"/>
        </w:rPr>
        <w:t xml:space="preserve">ЩОДО ПРОВЕДЕННЯ</w:t>
      </w:r>
      <w:r>
        <w:rPr>
          <w:sz w:val="28"/>
          <w:szCs w:val="28"/>
        </w:rPr>
      </w:r>
      <w:r>
        <w:rPr>
          <w:sz w:val="28"/>
          <w:szCs w:val="28"/>
        </w:rPr>
      </w:r>
    </w:p>
    <w:p>
      <w:pPr>
        <w:pBdr/>
        <w:spacing/>
        <w:ind/>
        <w:jc w:val="center"/>
        <w:rPr>
          <w:b w:val="0"/>
          <w:bCs/>
          <w:sz w:val="28"/>
          <w:szCs w:val="28"/>
        </w:rPr>
      </w:pPr>
      <w:r>
        <w:rPr>
          <w:b w:val="0"/>
          <w:sz w:val="28"/>
          <w:szCs w:val="28"/>
        </w:rPr>
        <w:t xml:space="preserve">ВІДКРИТИХ ТОРГІВ З ОСОБЛИВОСТЯМИ НА ЗАКУПІВЛЮ:</w:t>
      </w:r>
      <w:r>
        <w:rPr>
          <w:b w:val="0"/>
          <w:bCs/>
          <w:sz w:val="28"/>
          <w:szCs w:val="28"/>
        </w:rPr>
      </w:r>
      <w:r>
        <w:rPr>
          <w:b w:val="0"/>
          <w:bCs/>
          <w:sz w:val="28"/>
          <w:szCs w:val="28"/>
        </w:rPr>
      </w:r>
    </w:p>
    <w:p>
      <w:pPr>
        <w:pBdr/>
        <w:spacing/>
        <w:ind/>
        <w:jc w:val="center"/>
        <w:rPr>
          <w:b w:val="0"/>
          <w:bCs/>
          <w:sz w:val="28"/>
          <w:szCs w:val="28"/>
        </w:rPr>
      </w:pPr>
      <w:r>
        <w:rPr>
          <w:b w:val="0"/>
          <w:bCs/>
          <w:sz w:val="28"/>
          <w:szCs w:val="28"/>
        </w:rPr>
      </w:r>
      <w:r>
        <w:rPr>
          <w:b w:val="0"/>
          <w:bCs/>
          <w:sz w:val="28"/>
          <w:szCs w:val="28"/>
        </w:rPr>
      </w:r>
      <w:r>
        <w:rPr>
          <w:b w:val="0"/>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bCs/>
          <w:sz w:val="28"/>
          <w:szCs w:val="28"/>
        </w:rPr>
      </w:pPr>
      <w:r>
        <w:rPr>
          <w:b/>
          <w:bCs/>
          <w:sz w:val="28"/>
          <w:szCs w:val="28"/>
        </w:rPr>
        <w:t xml:space="preserve">Виготовлення проектно - кошторисної документації по об’єкту: </w:t>
      </w:r>
      <w:r>
        <w:rPr>
          <w:b/>
          <w:bCs/>
          <w:sz w:val="28"/>
          <w:szCs w:val="28"/>
        </w:rPr>
      </w:r>
      <w:r>
        <w:rPr>
          <w:b/>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bCs/>
          <w:sz w:val="28"/>
          <w:szCs w:val="28"/>
        </w:rPr>
      </w:pPr>
      <w:r>
        <w:rPr>
          <w:b/>
          <w:bCs/>
          <w:sz w:val="28"/>
          <w:szCs w:val="28"/>
        </w:rPr>
        <w:t xml:space="preserve">«Будівництво будівлі аварійно-рятувальної станції </w:t>
      </w:r>
      <w:r>
        <w:rPr>
          <w:b/>
          <w:bCs/>
          <w:sz w:val="28"/>
          <w:szCs w:val="28"/>
        </w:rPr>
      </w:r>
      <w:r>
        <w:rPr>
          <w:b/>
          <w:bCs/>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sz w:val="28"/>
          <w:szCs w:val="28"/>
        </w:rPr>
      </w:pPr>
      <w:r>
        <w:rPr>
          <w:b/>
          <w:bCs/>
          <w:sz w:val="28"/>
          <w:szCs w:val="28"/>
        </w:rPr>
        <w:t xml:space="preserve">Подільського району на вул. Вишгородська, 21»</w:t>
      </w:r>
      <w:r>
        <w:rPr>
          <w:sz w:val="28"/>
          <w:szCs w:val="28"/>
        </w:rPr>
      </w:r>
      <w:r>
        <w:rPr>
          <w:sz w:val="28"/>
          <w:szCs w:val="28"/>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center"/>
        <w:rPr>
          <w:b w:val="0"/>
          <w:bCs/>
          <w:sz w:val="28"/>
          <w:szCs w:val="28"/>
          <w:lang w:val="ru-RU"/>
        </w:rPr>
      </w:pPr>
      <w:r>
        <w:rPr>
          <w:b w:val="0"/>
          <w:sz w:val="28"/>
          <w:szCs w:val="28"/>
        </w:rPr>
        <w:t xml:space="preserve">Єдиний закупівельний словник ДК 021:2015 – </w:t>
      </w:r>
      <w:r>
        <w:rPr>
          <w:b/>
          <w:bCs/>
          <w:sz w:val="28"/>
          <w:szCs w:val="28"/>
        </w:rPr>
        <w:t xml:space="preserve">71240000-2 «Архітектурні, інженерні та планувальні послуги</w:t>
      </w:r>
      <w:r>
        <w:rPr>
          <w:b/>
          <w:bCs/>
          <w:sz w:val="28"/>
          <w:szCs w:val="28"/>
        </w:rPr>
        <w:t xml:space="preserve">»</w:t>
      </w:r>
      <w:r>
        <w:rPr>
          <w:b w:val="0"/>
          <w:bCs/>
          <w:sz w:val="28"/>
          <w:szCs w:val="28"/>
          <w:lang w:val="ru-RU"/>
        </w:rPr>
      </w:r>
      <w:r>
        <w:rPr>
          <w:b w:val="0"/>
          <w:bCs/>
          <w:sz w:val="28"/>
          <w:szCs w:val="28"/>
          <w:lang w:val="ru-RU"/>
        </w:rPr>
      </w:r>
    </w:p>
    <w:p>
      <w:pPr>
        <w:pBdr/>
        <w:spacing/>
        <w:ind/>
        <w:rPr>
          <w:b w:val="0"/>
          <w:sz w:val="28"/>
          <w:szCs w:val="28"/>
        </w:rPr>
      </w:pPr>
      <w:r>
        <w:rPr>
          <w:b w:val="0"/>
          <w:sz w:val="28"/>
          <w:szCs w:val="28"/>
        </w:rPr>
      </w:r>
      <w:r>
        <w:rPr>
          <w:b w:val="0"/>
          <w:sz w:val="28"/>
          <w:szCs w:val="28"/>
        </w:rPr>
      </w:r>
      <w:r>
        <w:rPr>
          <w:b w:val="0"/>
          <w:sz w:val="28"/>
          <w:szCs w:val="28"/>
        </w:rPr>
      </w:r>
    </w:p>
    <w:p>
      <w:pPr>
        <w:widowControl w:val="false"/>
        <w:pBdr/>
        <w:shd w:val="clear" w:color="auto" w:fill="ffffff"/>
        <w:spacing/>
        <w:ind w:right="144"/>
        <w:jc w:val="both"/>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center"/>
        <w:rPr>
          <w:b/>
          <w:i/>
          <w:color w:val="auto"/>
          <w:highlight w:val="none"/>
        </w:rPr>
      </w:pPr>
      <w:r>
        <w:rPr>
          <w:b/>
          <w:i/>
          <w:color w:val="auto"/>
          <w:highlight w:val="none"/>
        </w:rPr>
      </w:r>
      <w:r>
        <w:rPr>
          <w:b/>
          <w:i/>
          <w:color w:val="auto"/>
          <w:highlight w:val="none"/>
        </w:rPr>
      </w:r>
      <w:r>
        <w:rPr>
          <w:b/>
          <w:i/>
          <w:color w:val="auto"/>
          <w:highlight w:val="none"/>
        </w:rPr>
      </w:r>
    </w:p>
    <w:p>
      <w:pPr>
        <w:widowControl w:val="false"/>
        <w:pBdr/>
        <w:shd w:val="clear" w:color="auto" w:fill="ffffff"/>
        <w:spacing/>
        <w:ind w:right="144"/>
        <w:jc w:val="both"/>
        <w:rPr>
          <w:b/>
          <w:i/>
          <w:color w:val="auto"/>
          <w:highlight w:val="none"/>
        </w:rPr>
      </w:pPr>
      <w:r>
        <w:rPr>
          <w:b/>
          <w:i/>
          <w:color w:val="auto"/>
          <w:highlight w:val="none"/>
        </w:rPr>
      </w:r>
      <w:r>
        <w:rPr>
          <w:b/>
          <w:i/>
          <w:color w:val="auto"/>
          <w:highlight w:val="none"/>
        </w:rPr>
      </w:r>
      <w:r>
        <w:rPr>
          <w:b/>
          <w:i/>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t xml:space="preserve"> </w:t>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center"/>
        <w:rPr>
          <w:b/>
          <w:color w:val="auto"/>
          <w:highlight w:val="none"/>
        </w:rPr>
      </w:pPr>
      <w:r>
        <w:rPr>
          <w:b/>
          <w:color w:val="auto"/>
          <w:highlight w:val="none"/>
        </w:rPr>
      </w:r>
      <w:r>
        <w:rPr>
          <w:b/>
          <w:color w:val="auto"/>
          <w:highlight w:val="none"/>
        </w:rPr>
      </w:r>
      <w:r>
        <w:rPr>
          <w:b/>
          <w:color w:val="auto"/>
          <w:highlight w:val="none"/>
        </w:rPr>
      </w:r>
    </w:p>
    <w:p>
      <w:pPr>
        <w:widowControl w:val="false"/>
        <w:pBdr/>
        <w:spacing/>
        <w:ind/>
        <w:jc w:val="left"/>
        <w:rPr>
          <w:b/>
          <w:color w:val="auto"/>
          <w:highlight w:val="none"/>
        </w:rPr>
      </w:pPr>
      <w:r>
        <w:rPr>
          <w:b/>
          <w:color w:val="auto"/>
          <w:highlight w:val="none"/>
        </w:rPr>
      </w:r>
      <w:r>
        <w:rPr>
          <w:b/>
          <w:color w:val="auto"/>
          <w:highlight w:val="none"/>
        </w:rPr>
      </w:r>
      <w:r>
        <w:rPr>
          <w:b/>
          <w:color w:val="auto"/>
          <w:highlight w:val="none"/>
        </w:rPr>
      </w:r>
    </w:p>
    <w:p>
      <w:pPr>
        <w:pBdr/>
        <w:spacing/>
        <w:ind/>
        <w:jc w:val="center"/>
        <w:outlineLvl w:val="0"/>
        <w:rPr>
          <w:b w:val="0"/>
          <w:sz w:val="28"/>
          <w:szCs w:val="20"/>
          <w:lang w:eastAsia="ru-RU"/>
        </w:rPr>
      </w:pPr>
      <w:r>
        <w:rPr>
          <w:b/>
          <w:bCs/>
          <w:sz w:val="28"/>
          <w:szCs w:val="20"/>
          <w:lang w:eastAsia="ru-RU"/>
        </w:rPr>
        <w:t xml:space="preserve">м. Київ – 2023 рік</w:t>
      </w:r>
      <w:r>
        <w:rPr>
          <w:color w:val="auto"/>
          <w:highlight w:val="none"/>
        </w:rPr>
        <w:br w:type="page" w:clear="all"/>
      </w:r>
      <w:r>
        <w:rPr>
          <w:b w:val="0"/>
          <w:sz w:val="28"/>
          <w:szCs w:val="20"/>
          <w:lang w:eastAsia="ru-RU"/>
        </w:rPr>
      </w:r>
      <w:r>
        <w:rPr>
          <w:b w:val="0"/>
          <w:sz w:val="28"/>
          <w:szCs w:val="20"/>
          <w:lang w:eastAsia="ru-RU"/>
        </w:rPr>
      </w:r>
    </w:p>
    <w:p>
      <w:pPr>
        <w:pBdr/>
        <w:spacing/>
        <w:ind/>
        <w:jc w:val="center"/>
        <w:rPr>
          <w:b/>
          <w:color w:val="auto"/>
          <w:highlight w:val="none"/>
        </w:rPr>
      </w:pPr>
      <w:r>
        <w:rPr>
          <w:b/>
          <w:color w:val="auto"/>
          <w:highlight w:val="none"/>
        </w:rPr>
      </w:r>
      <w:r>
        <w:rPr>
          <w:b/>
          <w:color w:val="auto"/>
          <w:highlight w:val="none"/>
        </w:rPr>
      </w:r>
      <w:r>
        <w:rPr>
          <w:b/>
          <w:color w:val="auto"/>
          <w:highlight w:val="none"/>
        </w:rPr>
      </w:r>
    </w:p>
    <w:tbl>
      <w:tblPr>
        <w:tblStyle w:val="897"/>
        <w:tblW w:w="10774" w:type="dxa"/>
        <w:tblInd w:w="-546"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919"/>
        <w:gridCol w:w="4038"/>
        <w:gridCol w:w="5817"/>
      </w:tblGrid>
      <w:tr>
        <w:trPr>
          <w:trHeight w:val="522"/>
        </w:trPr>
        <w:tc>
          <w:tcPr>
            <w:shd w:val="clear" w:color="auto" w:fill="auto"/>
            <w:tcBorders/>
            <w:tcW w:w="919" w:type="dxa"/>
            <w:vAlign w:val="center"/>
            <w:textDirection w:val="lrTb"/>
            <w:noWrap w:val="false"/>
          </w:tcPr>
          <w:p>
            <w:pPr>
              <w:widowControl w:val="false"/>
              <w:pBdr/>
              <w:spacing/>
              <w:ind w:right="-82" w:left="-70"/>
              <w:jc w:val="center"/>
              <w:rPr>
                <w:b/>
                <w:color w:val="auto"/>
                <w:highlight w:val="none"/>
              </w:rPr>
            </w:pPr>
            <w:r>
              <w:rPr>
                <w:b/>
                <w:color w:val="auto"/>
                <w:highlight w:val="none"/>
              </w:rPr>
              <w:t xml:space="preserve">№ пункту</w:t>
            </w:r>
            <w:r>
              <w:rPr>
                <w:b/>
                <w:color w:val="auto"/>
                <w:highlight w:val="none"/>
              </w:rPr>
            </w:r>
            <w:r>
              <w:rPr>
                <w:b/>
                <w:color w:val="auto"/>
                <w:highlight w:val="none"/>
              </w:rPr>
            </w:r>
          </w:p>
        </w:tc>
        <w:tc>
          <w:tcPr>
            <w:gridSpan w:val="2"/>
            <w:shd w:val="clear" w:color="auto" w:fill="auto"/>
            <w:tcBorders/>
            <w:tcW w:w="9855"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 Загальні положення</w:t>
            </w:r>
            <w:r>
              <w:rPr>
                <w:b/>
                <w:color w:val="auto"/>
                <w:highlight w:val="none"/>
              </w:rPr>
            </w:r>
            <w:r>
              <w:rPr>
                <w:b/>
                <w:color w:val="auto"/>
                <w:highlight w:val="none"/>
              </w:rPr>
            </w:r>
          </w:p>
        </w:tc>
      </w:tr>
      <w:tr>
        <w:trPr>
          <w:trHeight w:val="1069"/>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Терміни, які вживаються в тендерній документації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Тендерну документацію розроблено відповідно до вимог Особливостей здійснення публічних </w:t>
            </w:r>
            <w:r>
              <w:rPr>
                <w:color w:val="auto"/>
                <w:highlight w:val="none"/>
              </w:rPr>
              <w:t xml:space="preserve">закупівель</w:t>
            </w:r>
            <w:r>
              <w:rPr>
                <w:color w:val="auto"/>
                <w:highlight w: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w:t>
            </w:r>
            <w:r>
              <w:rPr>
                <w:color w:val="auto"/>
                <w:highlight w:val="none"/>
              </w:rPr>
              <w:t xml:space="preserve">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та з урахуванням норм Закону України «Про публічні закупівлі» (далі – Закон). </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Інформація про замовника торгів</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Pr>
                <w:color w:val="auto"/>
                <w:highlight w:val="none"/>
              </w:rPr>
            </w:pPr>
            <w:r>
              <w:rPr>
                <w:color w:val="auto"/>
                <w:highlight w:val="none"/>
              </w:rPr>
            </w:r>
            <w:r>
              <w:rPr>
                <w:color w:val="auto"/>
                <w:highlight w:val="none"/>
              </w:rPr>
            </w:r>
            <w:r>
              <w:rPr>
                <w:color w:val="auto"/>
                <w:highlight w:val="none"/>
              </w:rPr>
            </w:r>
          </w:p>
        </w:tc>
      </w:tr>
      <w:tr>
        <w:trPr>
          <w:trHeight w:val="755"/>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2.1</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rPr>
                <w:color w:val="auto"/>
                <w:highlight w:val="none"/>
              </w:rPr>
            </w:pPr>
            <w:r>
              <w:rPr>
                <w:color w:val="auto"/>
                <w:highlight w:val="none"/>
              </w:rPr>
              <w:t xml:space="preserve">Повне найменування</w:t>
            </w:r>
            <w:r>
              <w:rPr>
                <w:color w:val="auto"/>
                <w:highlight w:val="none"/>
              </w:rPr>
            </w:r>
            <w:r>
              <w:rPr>
                <w:color w:val="auto"/>
                <w:highlight w:val="none"/>
              </w:rPr>
            </w:r>
          </w:p>
        </w:tc>
        <w:tc>
          <w:tcPr>
            <w:shd w:val="clear" w:color="auto" w:fill="auto"/>
            <w:tcBorders/>
            <w:tcW w:w="5817" w:type="dxa"/>
            <w:vAlign w:val="center"/>
            <w:textDirection w:val="lrTb"/>
            <w:noWrap w:val="false"/>
          </w:tcPr>
          <w:p>
            <w:pPr>
              <w:pBdr/>
              <w:spacing/>
              <w:ind/>
              <w:jc w:val="both"/>
              <w:rPr>
                <w:b w:val="0"/>
                <w:color w:val="auto"/>
                <w:highlight w:val="none"/>
              </w:rPr>
            </w:pPr>
            <w:r>
              <w:rPr>
                <w:b w:val="0"/>
                <w:color w:val="auto"/>
                <w:highlight w:val="none"/>
                <w:shd w:val="clear" w:color="auto" w:fill="ffffff"/>
                <w:lang w:eastAsia="uk-UA"/>
              </w:rPr>
              <w:t xml:space="preserve">Департамент муніципальної безпеки виконавчого органу Київської міської ради (Київської міської державної адміністрації)</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2.2</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rPr>
                <w:color w:val="auto"/>
                <w:highlight w:val="none"/>
              </w:rPr>
            </w:pPr>
            <w:r>
              <w:rPr>
                <w:color w:val="auto"/>
                <w:highlight w:val="none"/>
              </w:rPr>
              <w:t xml:space="preserve">Місцезнаходження</w:t>
            </w:r>
            <w:r>
              <w:rPr>
                <w:color w:val="auto"/>
                <w:highlight w:val="none"/>
              </w:rPr>
            </w:r>
            <w:r>
              <w:rPr>
                <w:color w:val="auto"/>
                <w:highlight w:val="none"/>
              </w:rPr>
            </w:r>
          </w:p>
        </w:tc>
        <w:tc>
          <w:tcPr>
            <w:shd w:val="clear" w:color="auto" w:fill="auto"/>
            <w:tcBorders/>
            <w:tcW w:w="5817" w:type="dxa"/>
            <w:textDirection w:val="lrTb"/>
            <w:noWrap w:val="false"/>
          </w:tcPr>
          <w:p>
            <w:pPr>
              <w:pBdr/>
              <w:spacing/>
              <w:ind/>
              <w:jc w:val="both"/>
              <w:rPr>
                <w:b w:val="0"/>
                <w:color w:val="auto"/>
                <w:highlight w:val="none"/>
              </w:rPr>
            </w:pPr>
            <w:r>
              <w:rPr>
                <w:b w:val="0"/>
                <w:color w:val="auto"/>
                <w:highlight w:val="none"/>
                <w:lang w:eastAsia="uk-UA"/>
              </w:rPr>
              <w:t xml:space="preserve">вул. Вишгородська, буд. 21, м. Київ, 04074</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2.3</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Pr>
                <w:color w:val="auto"/>
                <w:highlight w:val="none"/>
              </w:rPr>
            </w:pPr>
            <w:r>
              <w:rPr>
                <w:color w:val="auto"/>
                <w:highlight w:val="none"/>
              </w:rPr>
              <w:t xml:space="preserve">Посадова особа замовника, уповноважена здійснювати зв'язок з учасниками</w:t>
            </w:r>
            <w:r>
              <w:rPr>
                <w:color w:val="auto"/>
                <w:highlight w:val="none"/>
              </w:rPr>
            </w:r>
            <w:r>
              <w:rPr>
                <w:color w:val="auto"/>
                <w:highlight w:val="none"/>
              </w:rPr>
            </w:r>
          </w:p>
        </w:tc>
        <w:tc>
          <w:tcPr>
            <w:shd w:val="clear" w:color="auto" w:fill="auto"/>
            <w:tcBorders/>
            <w:tcW w:w="5817" w:type="dxa"/>
            <w:vAlign w:val="center"/>
            <w:textDirection w:val="lrTb"/>
            <w:noWrap w:val="false"/>
          </w:tcPr>
          <w:p>
            <w:pPr>
              <w:pBdr/>
              <w:spacing/>
              <w:ind/>
              <w:jc w:val="left"/>
              <w:rPr>
                <w:color w:val="auto"/>
                <w:sz w:val="28"/>
                <w:szCs w:val="28"/>
                <w:highlight w:val="none"/>
              </w:rPr>
            </w:pPr>
            <w:r>
              <w:rPr>
                <w:b w:val="0"/>
                <w:color w:val="auto"/>
                <w:highlight w:val="none"/>
              </w:rPr>
            </w:r>
            <w:r>
              <w:rPr>
                <w:b w:val="0"/>
                <w:color w:val="auto"/>
                <w:highlight w:val="none"/>
              </w:rPr>
              <w:t xml:space="preserve">Сектор матеріального забезпечення та тендерних закупівель відділу бухгалтерського обліку, фінансового забезпечення та звітності Департаменту муніципальної безпеки виконавчого органу Київської міської ради (Київської міської державної адміністрації)</w:t>
            </w:r>
            <w:r>
              <w:rPr>
                <w:color w:val="auto"/>
                <w:sz w:val="28"/>
                <w:szCs w:val="28"/>
                <w:highlight w:val="none"/>
              </w:rPr>
              <w:t xml:space="preserve"> </w:t>
            </w:r>
            <w:r>
              <w:rPr>
                <w:color w:val="auto"/>
                <w:sz w:val="28"/>
                <w:szCs w:val="28"/>
                <w:highlight w:val="none"/>
              </w:rPr>
            </w:r>
            <w:r>
              <w:rPr>
                <w:color w:val="auto"/>
                <w:sz w:val="28"/>
                <w:szCs w:val="28"/>
                <w:highlight w:val="none"/>
              </w:rPr>
            </w:r>
          </w:p>
          <w:p>
            <w:pPr>
              <w:pBdr/>
              <w:spacing/>
              <w:ind/>
              <w:jc w:val="left"/>
              <w:rPr>
                <w:b w:val="0"/>
                <w:color w:val="auto"/>
                <w:highlight w:val="none"/>
              </w:rPr>
            </w:pPr>
            <w:r>
              <w:rPr>
                <w:b w:val="0"/>
                <w:color w:val="auto"/>
                <w:highlight w:val="none"/>
              </w:rPr>
              <w:t xml:space="preserve">вул. Вишгородська, буд. 21, м. Київ, 04074 </w:t>
            </w:r>
            <w:r>
              <w:rPr>
                <w:b w:val="0"/>
                <w:color w:val="auto"/>
                <w:highlight w:val="none"/>
              </w:rPr>
            </w:r>
            <w:r>
              <w:rPr>
                <w:b w:val="0"/>
                <w:color w:val="auto"/>
                <w:highlight w:val="none"/>
              </w:rPr>
            </w:r>
          </w:p>
          <w:p>
            <w:pPr>
              <w:pBdr/>
              <w:spacing/>
              <w:ind/>
              <w:jc w:val="left"/>
              <w:rPr>
                <w:b w:val="0"/>
                <w:color w:val="auto"/>
                <w:highlight w:val="none"/>
              </w:rPr>
            </w:pPr>
            <w:r>
              <w:rPr>
                <w:b w:val="0"/>
                <w:color w:val="auto"/>
                <w:highlight w:val="none"/>
              </w:rPr>
              <w:t xml:space="preserve">тел</w:t>
            </w:r>
            <w:r>
              <w:rPr>
                <w:b w:val="0"/>
                <w:color w:val="auto"/>
                <w:highlight w:val="none"/>
              </w:rPr>
              <w:t xml:space="preserve">.: (044) 430-05-65</w:t>
            </w:r>
            <w:r>
              <w:rPr>
                <w:b w:val="0"/>
                <w:color w:val="auto"/>
                <w:highlight w:val="none"/>
              </w:rPr>
            </w:r>
            <w:r>
              <w:rPr>
                <w:b w:val="0"/>
                <w:color w:val="auto"/>
                <w:highlight w:val="none"/>
              </w:rPr>
            </w:r>
          </w:p>
          <w:p>
            <w:pPr>
              <w:pBdr/>
              <w:spacing/>
              <w:ind/>
              <w:jc w:val="left"/>
              <w:rPr>
                <w:color w:val="auto"/>
                <w:highlight w:val="none"/>
              </w:rPr>
            </w:pPr>
            <w:r>
              <w:rPr>
                <w:b w:val="0"/>
                <w:color w:val="auto"/>
                <w:highlight w:val="none"/>
              </w:rPr>
              <w:t xml:space="preserve">e-</w:t>
            </w:r>
            <w:r>
              <w:rPr>
                <w:b w:val="0"/>
                <w:color w:val="auto"/>
                <w:highlight w:val="none"/>
              </w:rPr>
              <w:t xml:space="preserve">mail</w:t>
            </w:r>
            <w:r>
              <w:rPr>
                <w:b w:val="0"/>
                <w:color w:val="auto"/>
                <w:highlight w:val="none"/>
              </w:rPr>
              <w:t xml:space="preserve">: tender.municipal@gmail.com</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Процедура закупівлі</w:t>
            </w:r>
            <w:r>
              <w:rPr>
                <w:b/>
                <w:color w:val="auto"/>
                <w:highlight w:val="none"/>
              </w:rPr>
            </w:r>
            <w:r>
              <w:rPr>
                <w:b/>
                <w:color w:val="auto"/>
                <w:highlight w:val="none"/>
              </w:rPr>
            </w:r>
          </w:p>
        </w:tc>
        <w:tc>
          <w:tcPr>
            <w:shd w:val="clear" w:color="auto" w:fill="auto"/>
            <w:tcBorders/>
            <w:tcW w:w="5817" w:type="dxa"/>
            <w:textDirection w:val="lrTb"/>
            <w:noWrap w:val="false"/>
          </w:tcPr>
          <w:p>
            <w:pPr>
              <w:pBdr/>
              <w:spacing/>
              <w:ind w:firstLine="6"/>
              <w:jc w:val="left"/>
              <w:rPr>
                <w:b w:val="0"/>
                <w:color w:val="auto"/>
                <w:highlight w:val="none"/>
              </w:rPr>
            </w:pPr>
            <w:r>
              <w:rPr>
                <w:b w:val="0"/>
                <w:color w:val="auto"/>
                <w:highlight w:val="none"/>
                <w:lang w:eastAsia="uk-UA"/>
              </w:rPr>
              <w:t xml:space="preserve">Відкриті торги з особливостями</w:t>
            </w:r>
            <w:r>
              <w:rPr>
                <w:b w:val="0"/>
                <w:color w:val="auto"/>
                <w:highlight w:val="none"/>
              </w:rPr>
            </w:r>
            <w:r>
              <w:rPr>
                <w:b w:val="0"/>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Інформація про предмет закупівлі</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firstLine="6"/>
              <w:rPr>
                <w:color w:val="auto"/>
                <w:highlight w:val="none"/>
              </w:rPr>
            </w:pPr>
            <w:r>
              <w:rPr>
                <w:color w:val="auto"/>
                <w:highlight w:val="none"/>
                <w:lang w:val="en-US"/>
              </w:rPr>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4.1</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jc w:val="both"/>
              <w:rPr>
                <w:color w:val="auto"/>
                <w:highlight w:val="none"/>
              </w:rPr>
            </w:pPr>
            <w:r>
              <w:rPr>
                <w:color w:val="auto"/>
                <w:highlight w:val="none"/>
              </w:rPr>
              <w:t xml:space="preserve">Назва предмета закупівлі</w:t>
            </w:r>
            <w:r>
              <w:rPr>
                <w:color w:val="auto"/>
                <w:highlight w:val="none"/>
              </w:rPr>
            </w:r>
            <w:r>
              <w:rPr>
                <w:color w:val="auto"/>
                <w:highlight w:val="none"/>
              </w:rPr>
            </w:r>
          </w:p>
        </w:tc>
        <w:tc>
          <w:tcPr>
            <w:shd w:val="clear" w:color="auto" w:fill="auto"/>
            <w:tcBorders/>
            <w:tcW w:w="5817" w:type="dxa"/>
            <w:textDirection w:val="lrTb"/>
            <w:noWrap w:val="false"/>
          </w:tcPr>
          <w:p>
            <w:pPr>
              <w:pBdr/>
              <w:spacing/>
              <w:ind/>
              <w:jc w:val="both"/>
              <w:rPr>
                <w:b w:val="0"/>
                <w:bCs w:val="0"/>
                <w:color w:val="auto"/>
                <w:highlight w:val="none"/>
              </w:rPr>
            </w:pPr>
            <w:r>
              <w:rPr>
                <w:b w:val="0"/>
                <w:bCs w:val="0"/>
                <w:color w:val="auto"/>
                <w:highlight w:val="none"/>
              </w:rPr>
              <w:t xml:space="preserve">Виготовлення проектно - кошторисної документації по об’єкту: «</w:t>
            </w:r>
            <w:r>
              <w:rPr>
                <w:b w:val="0"/>
                <w:bCs w:val="0"/>
                <w:color w:val="auto"/>
                <w:highlight w:val="none"/>
              </w:rPr>
              <w:t xml:space="preserve">Нове будівництво будівлі </w:t>
            </w:r>
            <w:r>
              <w:rPr>
                <w:b w:val="0"/>
                <w:bCs w:val="0"/>
                <w:color w:val="auto"/>
                <w:highlight w:val="none"/>
              </w:rPr>
              <w:t xml:space="preserve">пожежно</w:t>
            </w:r>
            <w:r>
              <w:rPr>
                <w:b w:val="0"/>
                <w:bCs w:val="0"/>
                <w:color w:val="auto"/>
                <w:highlight w:val="none"/>
              </w:rPr>
              <w:t xml:space="preserve">-рятувальної частини Подільського району в </w:t>
            </w:r>
            <w:r>
              <w:rPr>
                <w:b w:val="0"/>
                <w:bCs w:val="0"/>
                <w:color w:val="auto"/>
                <w:highlight w:val="none"/>
              </w:rPr>
              <w:t xml:space="preserve">м.Київ</w:t>
            </w:r>
            <w:r>
              <w:rPr>
                <w:b w:val="0"/>
                <w:bCs w:val="0"/>
                <w:color w:val="auto"/>
                <w:highlight w:val="none"/>
              </w:rPr>
              <w:t xml:space="preserve"> на </w:t>
            </w:r>
            <w:r>
              <w:rPr>
                <w:b w:val="0"/>
                <w:bCs w:val="0"/>
                <w:color w:val="auto"/>
                <w:highlight w:val="none"/>
              </w:rPr>
              <w:t xml:space="preserve">вул.Вишгородська</w:t>
            </w:r>
            <w:r>
              <w:rPr>
                <w:b w:val="0"/>
                <w:bCs w:val="0"/>
                <w:color w:val="auto"/>
                <w:highlight w:val="none"/>
              </w:rPr>
              <w:t xml:space="preserve">, 21</w:t>
            </w:r>
            <w:r>
              <w:rPr>
                <w:b w:val="0"/>
                <w:bCs w:val="0"/>
                <w:color w:val="auto"/>
                <w:highlight w:val="none"/>
              </w:rPr>
              <w:t xml:space="preserve">»</w:t>
            </w:r>
            <w:r>
              <w:rPr>
                <w:b w:val="0"/>
                <w:bCs w:val="0"/>
                <w:color w:val="auto"/>
                <w:highlight w:val="none"/>
              </w:rPr>
            </w:r>
            <w:r>
              <w:rPr>
                <w:b w:val="0"/>
                <w:bCs w:val="0"/>
                <w:color w:val="auto"/>
                <w:highlight w:val="none"/>
              </w:rPr>
            </w:r>
          </w:p>
          <w:p>
            <w:pPr>
              <w:pBdr/>
              <w:spacing/>
              <w:ind/>
              <w:jc w:val="both"/>
              <w:rPr>
                <w:b w:val="0"/>
                <w:bCs w:val="0"/>
                <w:color w:val="auto"/>
                <w:highlight w:val="none"/>
              </w:rPr>
            </w:pPr>
            <w:r>
              <w:rPr>
                <w:b w:val="0"/>
                <w:bCs w:val="0"/>
                <w:color w:val="auto"/>
                <w:highlight w:val="none"/>
              </w:rPr>
              <w:t xml:space="preserve">За кодом ДК 021:2015 - 71240000-2 Архітектурні, інженерні та планувальні послуги </w:t>
            </w:r>
            <w:r>
              <w:rPr>
                <w:b w:val="0"/>
                <w:bCs w:val="0"/>
                <w:color w:val="auto"/>
                <w:highlight w:val="none"/>
              </w:rPr>
            </w:r>
            <w:r>
              <w:rPr>
                <w:b w:val="0"/>
                <w:bCs w:val="0"/>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4.2</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Опис окремої частини (частин) предмета закупівлі (лота), щодо якої можуть бути подані тендерні пропозиції</w:t>
            </w:r>
            <w:r>
              <w:rPr>
                <w:color w:val="auto"/>
                <w:highlight w:val="none"/>
              </w:rPr>
            </w:r>
            <w:r>
              <w:rPr>
                <w:color w:val="auto"/>
                <w:highlight w:val="none"/>
              </w:rPr>
            </w:r>
          </w:p>
        </w:tc>
        <w:tc>
          <w:tcPr>
            <w:shd w:val="clear" w:color="auto" w:fill="auto"/>
            <w:tcBorders/>
            <w:tcW w:w="5817" w:type="dxa"/>
            <w:textDirection w:val="lrTb"/>
            <w:noWrap w:val="false"/>
          </w:tcPr>
          <w:p>
            <w:pPr>
              <w:pBdr/>
              <w:spacing/>
              <w:ind w:firstLine="6"/>
              <w:jc w:val="both"/>
              <w:rPr>
                <w:color w:val="auto"/>
                <w:highlight w:val="none"/>
              </w:rPr>
            </w:pPr>
            <w:r>
              <w:rPr>
                <w:color w:val="auto"/>
                <w:highlight w:val="none"/>
              </w:rPr>
              <w:t xml:space="preserve">Поділу на лоти не передбачено. </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4.3</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Місце, кількість, обсяг поставки товарів (надання послуг, виконання робіт)</w:t>
            </w:r>
            <w:r>
              <w:rPr>
                <w:color w:val="auto"/>
                <w:highlight w:val="none"/>
              </w:rPr>
            </w:r>
            <w:r>
              <w:rPr>
                <w:color w:val="auto"/>
                <w:highlight w:val="none"/>
              </w:rPr>
            </w:r>
          </w:p>
        </w:tc>
        <w:tc>
          <w:tcPr>
            <w:shd w:val="clear" w:color="auto" w:fill="auto"/>
            <w:tcBorders/>
            <w:tcW w:w="5817" w:type="dxa"/>
            <w:textDirection w:val="lrTb"/>
            <w:noWrap w:val="false"/>
          </w:tcPr>
          <w:p>
            <w:pPr>
              <w:widowControl w:val="false"/>
              <w:pBdr/>
              <w:spacing/>
              <w:ind w:right="120"/>
              <w:jc w:val="both"/>
              <w:rPr>
                <w:color w:val="auto"/>
                <w:highlight w:val="none"/>
              </w:rPr>
            </w:pPr>
            <w:r>
              <w:rPr>
                <w:color w:val="auto"/>
                <w:highlight w:val="none"/>
              </w:rPr>
              <w:t xml:space="preserve">К</w:t>
            </w:r>
            <w:r>
              <w:rPr>
                <w:color w:val="auto"/>
                <w:highlight w:val="none"/>
              </w:rPr>
              <w:t xml:space="preserve">ількість: </w:t>
            </w:r>
            <w:r>
              <w:rPr>
                <w:color w:val="auto"/>
                <w:highlight w:val="none"/>
              </w:rPr>
              <w:t xml:space="preserve">1 робота  згідно з Додатком 3</w:t>
            </w:r>
            <w:r>
              <w:rPr>
                <w:color w:val="auto"/>
                <w:highlight w:val="none"/>
              </w:rPr>
            </w:r>
            <w:r>
              <w:rPr>
                <w:color w:val="auto"/>
                <w:highlight w:val="none"/>
              </w:rPr>
            </w:r>
          </w:p>
          <w:p>
            <w:pPr>
              <w:pBdr/>
              <w:spacing/>
              <w:ind/>
              <w:jc w:val="both"/>
              <w:rPr>
                <w:color w:val="auto"/>
                <w:highlight w:val="none"/>
              </w:rPr>
            </w:pPr>
            <w:r>
              <w:rPr>
                <w:color w:val="auto"/>
                <w:highlight w:val="none"/>
              </w:rPr>
              <w:t xml:space="preserve">Місце виконання робіт – </w:t>
            </w:r>
            <w:r>
              <w:rPr>
                <w:b w:val="0"/>
                <w:color w:val="auto"/>
                <w:highlight w:val="none"/>
                <w:lang w:eastAsia="uk-UA"/>
              </w:rPr>
              <w:t xml:space="preserve"> м. Київ, вул. Вишгородська, буд. 21</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color w:val="auto"/>
                <w:highlight w:val="none"/>
              </w:rPr>
            </w:pPr>
            <w:r>
              <w:rPr>
                <w:color w:val="auto"/>
                <w:highlight w:val="none"/>
              </w:rPr>
              <w:t xml:space="preserve">4.4</w:t>
            </w:r>
            <w:r>
              <w:rPr>
                <w:color w:val="auto"/>
                <w:highlight w:val="none"/>
              </w:rPr>
            </w:r>
            <w:r>
              <w:rPr>
                <w:color w:val="auto"/>
                <w:highlight w:val="none"/>
              </w:rPr>
            </w:r>
          </w:p>
        </w:tc>
        <w:tc>
          <w:tcPr>
            <w:shd w:val="clear" w:color="auto" w:fill="auto"/>
            <w:tcBorders/>
            <w:tcW w:w="4038" w:type="dxa"/>
            <w:textDirection w:val="lrTb"/>
            <w:noWrap w:val="false"/>
          </w:tcPr>
          <w:p>
            <w:pPr>
              <w:widowControl w:val="false"/>
              <w:pBdr/>
              <w:spacing/>
              <w:ind w:right="113" w:left="-9"/>
              <w:rPr>
                <w:color w:val="auto"/>
                <w:highlight w:val="none"/>
              </w:rPr>
            </w:pPr>
            <w:r>
              <w:rPr>
                <w:color w:val="auto"/>
                <w:highlight w:val="none"/>
              </w:rPr>
              <w:t xml:space="preserve">Строк поставки товарів (надання послуг, виконання робіт)</w:t>
            </w:r>
            <w:r>
              <w:rPr>
                <w:color w:val="auto"/>
                <w:highlight w:val="none"/>
              </w:rPr>
            </w:r>
            <w:r>
              <w:rPr>
                <w:color w:val="auto"/>
                <w:highlight w:val="none"/>
              </w:rPr>
            </w:r>
          </w:p>
        </w:tc>
        <w:tc>
          <w:tcPr>
            <w:shd w:val="clear" w:color="auto" w:fill="auto"/>
            <w:tcBorders/>
            <w:tcW w:w="5817" w:type="dxa"/>
            <w:textDirection w:val="lrTb"/>
            <w:noWrap w:val="false"/>
          </w:tcPr>
          <w:p>
            <w:pPr>
              <w:widowControl w:val="false"/>
              <w:pBdr/>
              <w:spacing/>
              <w:ind w:right="113" w:hanging="2"/>
              <w:rPr>
                <w:b w:val="0"/>
                <w:bCs w:val="0"/>
                <w:color w:val="auto"/>
                <w:highlight w:val="none"/>
              </w:rPr>
            </w:pPr>
            <w:r>
              <w:rPr>
                <w:b w:val="0"/>
                <w:bCs w:val="0"/>
                <w:color w:val="auto"/>
                <w:highlight w:val="none"/>
              </w:rPr>
              <w:t xml:space="preserve">до 2</w:t>
            </w:r>
            <w:r>
              <w:rPr>
                <w:b w:val="0"/>
                <w:bCs w:val="0"/>
                <w:color w:val="auto"/>
                <w:highlight w:val="none"/>
                <w:lang w:val="en-US"/>
              </w:rPr>
              <w:t xml:space="preserve">9</w:t>
            </w:r>
            <w:r>
              <w:rPr>
                <w:b w:val="0"/>
                <w:bCs w:val="0"/>
                <w:color w:val="auto"/>
                <w:highlight w:val="none"/>
              </w:rPr>
              <w:t xml:space="preserve">.</w:t>
            </w:r>
            <w:r>
              <w:rPr>
                <w:b w:val="0"/>
                <w:bCs w:val="0"/>
                <w:color w:val="auto"/>
                <w:highlight w:val="none"/>
                <w:lang w:val="en-US"/>
              </w:rPr>
              <w:t xml:space="preserve">12</w:t>
            </w:r>
            <w:r>
              <w:rPr>
                <w:b w:val="0"/>
                <w:bCs w:val="0"/>
                <w:color w:val="auto"/>
                <w:highlight w:val="none"/>
              </w:rPr>
              <w:t xml:space="preserve">.202</w:t>
            </w:r>
            <w:r>
              <w:rPr>
                <w:b w:val="0"/>
                <w:bCs w:val="0"/>
                <w:color w:val="auto"/>
                <w:highlight w:val="none"/>
                <w:lang w:val="en-US"/>
              </w:rPr>
              <w:t xml:space="preserve">3</w:t>
            </w:r>
            <w:r>
              <w:rPr>
                <w:b w:val="0"/>
                <w:bCs w:val="0"/>
                <w:color w:val="auto"/>
                <w:highlight w:val="none"/>
              </w:rPr>
              <w:t xml:space="preserve"> року</w:t>
            </w:r>
            <w:r>
              <w:rPr>
                <w:b w:val="0"/>
                <w:bCs w:val="0"/>
                <w:color w:val="auto"/>
                <w:highlight w:val="none"/>
              </w:rPr>
            </w:r>
            <w:r>
              <w:rPr>
                <w:b w:val="0"/>
                <w:bCs w:val="0"/>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Недискримінація учасників</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hanging="21" w:left="34"/>
              <w:jc w:val="both"/>
              <w:rPr>
                <w:color w:val="auto"/>
                <w:highlight w:val="none"/>
              </w:rPr>
            </w:pPr>
            <w:r>
              <w:rPr>
                <w:color w:val="auto"/>
                <w:highlight w:val="none"/>
              </w:rPr>
              <w:t xml:space="preserve">Вітчизняні та іноземні учасники всіх форм власності та організаційно-правових форм беруть участь у процедурах </w:t>
            </w:r>
            <w:r>
              <w:rPr>
                <w:color w:val="auto"/>
                <w:highlight w:val="none"/>
              </w:rPr>
              <w:t xml:space="preserve">закупівель</w:t>
            </w:r>
            <w:r>
              <w:rPr>
                <w:color w:val="auto"/>
                <w:highlight w:val="none"/>
              </w:rPr>
              <w:t xml:space="preserve"> на рівних умовах. </w:t>
            </w:r>
            <w:r>
              <w:rPr>
                <w:color w:val="auto"/>
                <w:highlight w:val="none"/>
              </w:rPr>
            </w:r>
            <w:r>
              <w:rPr>
                <w:color w:val="auto"/>
                <w:highlight w:val="none"/>
              </w:rPr>
            </w:r>
          </w:p>
          <w:p>
            <w:pPr>
              <w:widowControl w:val="false"/>
              <w:pBdr/>
              <w:spacing/>
              <w:ind w:right="113" w:hanging="21" w:left="34"/>
              <w:jc w:val="both"/>
              <w:rPr>
                <w:color w:val="auto"/>
                <w:highlight w:val="none"/>
              </w:rPr>
            </w:pPr>
            <w:r>
              <w:rPr>
                <w:color w:val="auto"/>
                <w:highlight w:val="none"/>
              </w:rPr>
              <w:t xml:space="preserve">Під час проведення відкритих торгів тендерні пропозиції мають право подавати всі зацікавлені особи.</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валюту, у якій повинно бути розраховано та зазначено ціну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Валютою тендерної пропозиції є гривня.</w:t>
            </w:r>
            <w:r>
              <w:rPr>
                <w:color w:val="auto"/>
                <w:highlight w:val="none"/>
              </w:rPr>
            </w:r>
            <w:r>
              <w:rPr>
                <w:color w:val="auto"/>
                <w:highlight w:val="none"/>
              </w:rPr>
            </w:r>
          </w:p>
          <w:p>
            <w:pPr>
              <w:widowControl w:val="false"/>
              <w:pBdr/>
              <w:spacing/>
              <w:ind w:right="113" w:hanging="23" w:left="34"/>
              <w:jc w:val="both"/>
              <w:rPr>
                <w:color w:val="auto"/>
                <w:highlight w:val="none"/>
              </w:rPr>
            </w:pPr>
            <w:r>
              <w:rPr>
                <w:color w:val="auto"/>
                <w:highlight w:val="none"/>
              </w:rPr>
              <w:t xml:space="preserve">У разі якщо учасником проце</w:t>
            </w:r>
            <w:r>
              <w:rPr>
                <w:color w:val="auto"/>
                <w:highlight w:val="none"/>
              </w:rPr>
              <w:t xml:space="preserve">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w:t>
            </w:r>
            <w:r>
              <w:rPr>
                <w:color w:val="auto"/>
                <w:highlight w:val="none"/>
              </w:rPr>
              <w:t xml:space="preserve">ЄВРО, встановленим Національним банком України на дату розкриття тендерних пропозицій.</w:t>
            </w:r>
            <w:r>
              <w:rPr>
                <w:color w:val="auto"/>
                <w:highlight w:val="none"/>
              </w:rPr>
            </w:r>
            <w:r>
              <w:rPr>
                <w:color w:val="auto"/>
                <w:highlight w:val="none"/>
              </w:rPr>
            </w:r>
          </w:p>
          <w:p>
            <w:pPr>
              <w:widowControl w:val="false"/>
              <w:pBdr/>
              <w:spacing/>
              <w:ind w:right="113" w:hanging="23" w:left="34"/>
              <w:jc w:val="both"/>
              <w:rPr>
                <w:color w:val="auto"/>
                <w:highlight w:val="none"/>
              </w:rPr>
            </w:pPr>
            <w:r>
              <w:rPr>
                <w:b/>
                <w:i/>
                <w:color w:val="auto"/>
                <w:highlight w:val="none"/>
              </w:rPr>
              <w:t xml:space="preserve">У разі якщо учасником процедури закупівлі є нерезидент</w:t>
            </w:r>
            <w:r>
              <w:rPr>
                <w:b/>
                <w:color w:val="auto"/>
                <w:highlight w:val="none"/>
              </w:rPr>
              <w:t xml:space="preserve">,  </w:t>
            </w:r>
            <w:r>
              <w:rPr>
                <w:color w:val="auto"/>
                <w:highlight w:val="none"/>
              </w:rPr>
              <w:t xml:space="preserve">такий Учасник зазначає ціну пропозиції в електронній системі </w:t>
            </w:r>
            <w:r>
              <w:rPr>
                <w:color w:val="auto"/>
                <w:highlight w:val="none"/>
              </w:rPr>
              <w:t xml:space="preserve">закупівель</w:t>
            </w:r>
            <w:r>
              <w:rPr>
                <w:color w:val="auto"/>
                <w:highlight w:val="none"/>
              </w:rPr>
              <w:t xml:space="preserve"> у валюті – гривня.</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7</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мову (мови),  якою  (якими) повинно  бути  складено тендерні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left="83"/>
              <w:jc w:val="both"/>
              <w:rPr>
                <w:color w:val="auto"/>
                <w:highlight w:val="none"/>
              </w:rPr>
            </w:pPr>
            <w:r>
              <w:rPr>
                <w:color w:val="auto"/>
                <w:highlight w:val="none"/>
              </w:rPr>
              <w:t xml:space="preserve">Мова тендерної пропозиції – українська.</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Під час проведення процедур </w:t>
            </w:r>
            <w:r>
              <w:rPr>
                <w:color w:val="auto"/>
                <w:highlight w:val="none"/>
              </w:rPr>
              <w:t xml:space="preserve">закупівель</w:t>
            </w:r>
            <w:r>
              <w:rPr>
                <w:color w:val="auto"/>
                <w:highlight w:val="none"/>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Стандартні характеристики, вимоги, умов</w:t>
            </w:r>
            <w:r>
              <w:rPr>
                <w:color w:val="auto"/>
                <w:highlight w:val="none"/>
              </w:rPr>
              <w:t xml:space="preserve">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Pr>
                <w:color w:val="auto"/>
                <w:highlight w:val="none"/>
              </w:rPr>
            </w:r>
            <w:r>
              <w:rPr>
                <w:color w:val="auto"/>
                <w:highlight w:val="none"/>
              </w:rPr>
            </w:r>
          </w:p>
          <w:p>
            <w:pPr>
              <w:widowControl w:val="false"/>
              <w:pBdr/>
              <w:spacing/>
              <w:ind w:left="83"/>
              <w:jc w:val="both"/>
              <w:rPr>
                <w:color w:val="auto"/>
                <w:highlight w:val="none"/>
              </w:rPr>
            </w:pPr>
            <w:r>
              <w:rPr>
                <w:color w:val="auto"/>
                <w:highlight w:val="none"/>
              </w:rPr>
              <w:t xml:space="preserve">Уся інформація розміщується в електронній системі </w:t>
            </w:r>
            <w:r>
              <w:rPr>
                <w:color w:val="auto"/>
                <w:highlight w:val="none"/>
              </w:rPr>
              <w:t xml:space="preserve">закупівель</w:t>
            </w:r>
            <w:r>
              <w:rPr>
                <w:color w:val="auto"/>
                <w:highlight w:val="none"/>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Pr>
                <w:color w:val="auto"/>
                <w:highlight w:val="none"/>
              </w:rPr>
              <w:t xml:space="preserve">знака</w:t>
            </w:r>
            <w:r>
              <w:rPr>
                <w:color w:val="auto"/>
                <w:highlight w:val="none"/>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r>
              <w:rPr>
                <w:color w:val="auto"/>
                <w:highlight w:val="none"/>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Pr>
                <w:color w:val="auto"/>
                <w:highlight w:val="none"/>
              </w:rPr>
            </w:r>
            <w:r>
              <w:rPr>
                <w:color w:val="auto"/>
                <w:highlight w:val="none"/>
              </w:rPr>
            </w:r>
          </w:p>
          <w:p>
            <w:pPr>
              <w:widowControl w:val="false"/>
              <w:pBdr/>
              <w:spacing/>
              <w:ind w:left="83"/>
              <w:jc w:val="both"/>
              <w:rPr>
                <w:b/>
                <w:color w:val="auto"/>
                <w:highlight w:val="none"/>
              </w:rPr>
            </w:pPr>
            <w:r>
              <w:rPr>
                <w:b/>
                <w:color w:val="auto"/>
                <w:highlight w:val="none"/>
              </w:rPr>
              <w:t xml:space="preserve">Виключення:</w:t>
            </w:r>
            <w:r>
              <w:rPr>
                <w:b/>
                <w:color w:val="auto"/>
                <w:highlight w:val="none"/>
              </w:rPr>
            </w:r>
            <w:r>
              <w:rPr>
                <w:b/>
                <w:color w:val="auto"/>
                <w:highlight w:val="none"/>
              </w:rPr>
            </w:r>
          </w:p>
          <w:p>
            <w:pPr>
              <w:widowControl w:val="false"/>
              <w:pBdr/>
              <w:spacing/>
              <w:ind w:left="83"/>
              <w:jc w:val="both"/>
              <w:rPr>
                <w:color w:val="auto"/>
                <w:highlight w:val="none"/>
              </w:rPr>
            </w:pPr>
            <w:r>
              <w:rPr>
                <w:color w:val="auto"/>
                <w:highlight w: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r>
              <w:rPr>
                <w:color w:val="auto"/>
                <w:highlight w:val="none"/>
              </w:rPr>
            </w:r>
            <w:r>
              <w:rPr>
                <w:color w:val="auto"/>
                <w:highlight w:val="none"/>
              </w:rPr>
            </w:r>
          </w:p>
          <w:p>
            <w:pPr>
              <w:pBdr/>
              <w:spacing w:before="280"/>
              <w:ind w:left="83"/>
              <w:jc w:val="both"/>
              <w:rPr>
                <w:color w:val="auto"/>
                <w:highlight w:val="none"/>
              </w:rPr>
            </w:pPr>
            <w:r>
              <w:rPr>
                <w:color w:val="auto"/>
                <w:highlight w:val="none"/>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Pr>
                <w:color w:val="auto"/>
                <w:highlight w:val="none"/>
              </w:rPr>
              <w:t xml:space="preserve">вимозі</w:t>
            </w:r>
            <w:r>
              <w:rPr>
                <w:color w:val="auto"/>
                <w:highlight w:val="none"/>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8</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Pr>
                <w:b/>
                <w:color w:val="auto"/>
                <w:highlight w:val="none"/>
              </w:rPr>
              <w:t xml:space="preserve">замовником в оголошенні про проведення відкритих торгів</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Замовник </w:t>
            </w:r>
            <w:r>
              <w:rPr>
                <w:b/>
                <w:color w:val="auto"/>
                <w:highlight w:val="none"/>
              </w:rPr>
              <w:t xml:space="preserve">не приймає</w:t>
            </w:r>
            <w:r>
              <w:rPr>
                <w:color w:val="auto"/>
                <w:highlight w:val="none"/>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ІІ Порядок внесення змін та надання роз’яснень до тендерної документації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Процедура надання роз’яснень щодо тендерної документації </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2160"/>
                <w:tab w:val="left" w:leader="none" w:pos="3600"/>
              </w:tabs>
              <w:spacing w:line="256" w:lineRule="auto"/>
              <w:ind/>
              <w:jc w:val="both"/>
              <w:rPr>
                <w:color w:val="auto"/>
                <w:highlight w:val="none"/>
              </w:rPr>
            </w:pPr>
            <w:r>
              <w:rPr>
                <w:color w:val="auto"/>
                <w:highlight w:val="none"/>
              </w:rPr>
              <w:t xml:space="preserve">Фізична/юридична особа має право не пізніше ніж за три дні до закінчення строку подання тендерної пропозиції звернутися </w:t>
            </w:r>
            <w:r>
              <w:rPr>
                <w:color w:val="auto"/>
                <w:highlight w:val="none"/>
              </w:rPr>
              <w:t xml:space="preserve">через електронну систему </w:t>
            </w:r>
            <w:r>
              <w:rPr>
                <w:color w:val="auto"/>
                <w:highlight w:val="none"/>
              </w:rPr>
              <w:t xml:space="preserve">закупівель</w:t>
            </w:r>
            <w:r>
              <w:rPr>
                <w:color w:val="auto"/>
                <w:highlight w:val="none"/>
              </w:rPr>
              <w:t xml:space="preserve"> до замовника</w:t>
            </w:r>
            <w:r>
              <w:rPr>
                <w:color w:val="auto"/>
                <w:highlight w:val="none"/>
              </w:rPr>
              <w:t xml:space="preserve">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color w:val="auto"/>
                <w:highlight w:val="none"/>
              </w:rPr>
              <w:t xml:space="preserve">закупівель</w:t>
            </w:r>
            <w:r>
              <w:rPr>
                <w:color w:val="auto"/>
                <w:highlight w: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Pr>
                <w:color w:val="auto"/>
                <w:highlight w:val="none"/>
              </w:rPr>
              <w:t xml:space="preserve">закупівель</w:t>
            </w:r>
            <w:r>
              <w:rPr>
                <w:color w:val="auto"/>
                <w:highlight w:val="none"/>
              </w:rPr>
              <w:t xml:space="preserve">. </w:t>
            </w:r>
            <w:r>
              <w:rPr>
                <w:color w:val="auto"/>
                <w:highlight w:val="none"/>
              </w:rPr>
            </w:r>
            <w:r>
              <w:rPr>
                <w:color w:val="auto"/>
                <w:highlight w:val="none"/>
              </w:rPr>
            </w:r>
          </w:p>
          <w:p>
            <w:pPr>
              <w:pBdr/>
              <w:tabs>
                <w:tab w:val="left" w:leader="none" w:pos="2160"/>
                <w:tab w:val="left" w:leader="none" w:pos="3600"/>
              </w:tabs>
              <w:spacing w:line="256" w:lineRule="auto"/>
              <w:ind/>
              <w:jc w:val="both"/>
              <w:rPr>
                <w:color w:val="auto"/>
                <w:highlight w:val="none"/>
              </w:rPr>
            </w:pPr>
            <w:r>
              <w:rPr>
                <w:color w:val="auto"/>
                <w:highlight w:val="none"/>
              </w:rPr>
              <w:t xml:space="preserve">У разі несвоєчасного надання замовником роз’яснень щодо змісту тендерної документації електронна система </w:t>
            </w:r>
            <w:r>
              <w:rPr>
                <w:color w:val="auto"/>
                <w:highlight w:val="none"/>
              </w:rPr>
              <w:t xml:space="preserve">закупівель</w:t>
            </w:r>
            <w:r>
              <w:rPr>
                <w:color w:val="auto"/>
                <w:highlight w:val="none"/>
              </w:rPr>
              <w:t xml:space="preserve"> автоматично зупиняє перебіг відкритих торгів.</w:t>
            </w:r>
            <w:r>
              <w:rPr>
                <w:color w:val="auto"/>
                <w:highlight w:val="none"/>
              </w:rPr>
            </w:r>
            <w:r>
              <w:rPr>
                <w:color w:val="auto"/>
                <w:highlight w:val="none"/>
              </w:rPr>
            </w:r>
          </w:p>
          <w:p>
            <w:pPr>
              <w:pBdr/>
              <w:tabs>
                <w:tab w:val="left" w:leader="none" w:pos="-108"/>
                <w:tab w:val="left" w:leader="none" w:pos="0"/>
              </w:tabs>
              <w:spacing w:line="256" w:lineRule="auto"/>
              <w:ind/>
              <w:jc w:val="both"/>
              <w:rPr>
                <w:color w:val="auto"/>
                <w:highlight w:val="none"/>
              </w:rPr>
            </w:pPr>
            <w:r>
              <w:rPr>
                <w:color w:val="auto"/>
                <w:highlight w:val="non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color w:val="auto"/>
                <w:highlight w:val="none"/>
              </w:rPr>
              <w:t xml:space="preserve">закупівель</w:t>
            </w:r>
            <w:r>
              <w:rPr>
                <w:color w:val="auto"/>
                <w:highlight w:val="none"/>
              </w:rPr>
              <w:t xml:space="preserve"> з одночасним продовженням строку подання тендерних пропозицій не менш як на чотири дні.</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Внесення змін до тендерної документації</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2160"/>
                <w:tab w:val="left" w:leader="none" w:pos="3600"/>
              </w:tabs>
              <w:spacing w:line="256" w:lineRule="auto"/>
              <w:ind/>
              <w:jc w:val="both"/>
              <w:rPr>
                <w:color w:val="auto"/>
                <w:highlight w:val="none"/>
              </w:rPr>
            </w:pPr>
            <w:r>
              <w:rPr>
                <w:color w:val="auto"/>
                <w:highlight w:val="none"/>
              </w:rPr>
              <w:t xml:space="preserve">Замовник має право з власної ініціативи або у разі усунення порушень вимог законодавства у сфері публічних </w:t>
            </w:r>
            <w:r>
              <w:rPr>
                <w:color w:val="auto"/>
                <w:highlight w:val="none"/>
              </w:rPr>
              <w:t xml:space="preserve">закупівель</w:t>
            </w:r>
            <w:r>
              <w:rPr>
                <w:color w:val="auto"/>
                <w:highlight w:val="none"/>
              </w:rPr>
              <w:t xml:space="preserve">, викладених у висновку органу державного фінансового контролю, відповідно до статті 8 Закону, або за результатами звернень, або </w:t>
            </w:r>
            <w:r>
              <w:rPr>
                <w:color w:val="auto"/>
                <w:highlight w:val="none"/>
              </w:rPr>
              <w:t xml:space="preserve">на підставі рішення органу оскарження </w:t>
            </w:r>
            <w:r>
              <w:rPr>
                <w:color w:val="auto"/>
                <w:highlight w:val="none"/>
              </w:rPr>
              <w:t xml:space="preserve">внести</w:t>
            </w:r>
            <w:r>
              <w:rPr>
                <w:color w:val="auto"/>
                <w:highlight w:val="none"/>
              </w:rPr>
              <w:t xml:space="preserve"> зміни до тендерної документації. У разі внесення </w:t>
            </w:r>
            <w:r>
              <w:rPr>
                <w:color w:val="auto"/>
                <w:highlight w:val="none"/>
              </w:rPr>
              <w:t xml:space="preserve">змін до тендерної документації строк для подання тендерних пропозицій продовжується замовником в електронній системі </w:t>
            </w:r>
            <w:r>
              <w:rPr>
                <w:color w:val="auto"/>
                <w:highlight w:val="none"/>
              </w:rPr>
              <w:t xml:space="preserve">закупівель</w:t>
            </w:r>
            <w:r>
              <w:rPr>
                <w:color w:val="auto"/>
                <w:highlight w:val="none"/>
              </w:rPr>
              <w:t xml:space="preserve">, </w:t>
            </w:r>
            <w:r>
              <w:rPr>
                <w:color w:val="auto"/>
                <w:highlight w:val="none"/>
              </w:rPr>
              <w:t xml:space="preserve">а саме в оголошенні про проведення відкритих торгів,</w:t>
            </w:r>
            <w:r>
              <w:rPr>
                <w:color w:val="auto"/>
                <w:highlight w:val="non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auto"/>
                <w:highlight w:val="none"/>
              </w:rPr>
            </w:r>
            <w:r>
              <w:rPr>
                <w:color w:val="auto"/>
                <w:highlight w:val="none"/>
              </w:rPr>
            </w:r>
          </w:p>
          <w:p>
            <w:pPr>
              <w:pBdr/>
              <w:tabs>
                <w:tab w:val="left" w:leader="none" w:pos="2160"/>
                <w:tab w:val="left" w:leader="none" w:pos="3600"/>
              </w:tabs>
              <w:spacing w:line="256" w:lineRule="auto"/>
              <w:ind/>
              <w:jc w:val="both"/>
              <w:rPr>
                <w:color w:val="auto"/>
                <w:highlight w:val="none"/>
              </w:rPr>
            </w:pPr>
            <w:r>
              <w:rPr>
                <w:color w:val="auto"/>
                <w:highlight w:val="none"/>
              </w:rPr>
              <w:t xml:space="preserve">Зміни, що вносяться замовником до тендерної документації, розміщуються та відображаються в електронній системі </w:t>
            </w:r>
            <w:r>
              <w:rPr>
                <w:color w:val="auto"/>
                <w:highlight w:val="none"/>
              </w:rPr>
              <w:t xml:space="preserve">закупівель</w:t>
            </w:r>
            <w:r>
              <w:rPr>
                <w:color w:val="auto"/>
                <w:highlight w: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color w:val="auto"/>
                <w:highlight w:val="none"/>
              </w:rPr>
              <w:t xml:space="preserve">машинозчитувальному</w:t>
            </w:r>
            <w:r>
              <w:rPr>
                <w:color w:val="auto"/>
                <w:highlight w:val="none"/>
              </w:rPr>
              <w:t xml:space="preserve"> форматі розміщуються в </w:t>
            </w:r>
            <w:r>
              <w:rPr>
                <w:color w:val="auto"/>
                <w:highlight w:val="none"/>
              </w:rPr>
              <w:t xml:space="preserve">електронній системі </w:t>
            </w:r>
            <w:r>
              <w:rPr>
                <w:color w:val="auto"/>
                <w:highlight w:val="none"/>
              </w:rPr>
              <w:t xml:space="preserve">закупівель</w:t>
            </w:r>
            <w:r>
              <w:rPr>
                <w:color w:val="auto"/>
                <w:highlight w:val="none"/>
              </w:rPr>
              <w:t xml:space="preserve"> протягом одного дня з дати прийняття рішення про їх внесення.</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jc w:val="center"/>
              <w:rPr>
                <w:b/>
                <w:color w:val="auto"/>
                <w:highlight w:val="none"/>
              </w:rPr>
            </w:pPr>
            <w:r>
              <w:rPr>
                <w:b/>
                <w:color w:val="auto"/>
                <w:highlight w:val="none"/>
              </w:rPr>
              <w:t xml:space="preserve">Розділ ІІІ Інструкція з підготовки тендерної пропозиції </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Зміст і спосіб подання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firstLine="176"/>
              <w:jc w:val="both"/>
              <w:rPr>
                <w:i/>
                <w:color w:val="auto"/>
                <w:sz w:val="22"/>
                <w:szCs w:val="22"/>
                <w:highlight w:val="none"/>
              </w:rPr>
            </w:pPr>
            <w:r>
              <w:rPr>
                <w:i/>
                <w:color w:val="auto"/>
                <w:highlight w:val="none"/>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i/>
                <w:color w:val="auto"/>
                <w:sz w:val="22"/>
                <w:szCs w:val="22"/>
                <w:highlight w:val="none"/>
              </w:rPr>
              <w:t xml:space="preserve"> </w:t>
            </w:r>
            <w:r>
              <w:rPr>
                <w:i/>
                <w:color w:val="auto"/>
                <w:sz w:val="22"/>
                <w:szCs w:val="22"/>
                <w:highlight w:val="none"/>
              </w:rPr>
            </w:r>
            <w:r>
              <w:rPr>
                <w:i/>
                <w:color w:val="auto"/>
                <w:sz w:val="22"/>
                <w:szCs w:val="22"/>
                <w:highlight w:val="none"/>
              </w:rPr>
            </w:r>
          </w:p>
          <w:p>
            <w:pPr>
              <w:widowControl w:val="false"/>
              <w:pBdr/>
              <w:spacing/>
              <w:ind w:firstLine="176"/>
              <w:jc w:val="both"/>
              <w:rPr>
                <w:color w:val="auto"/>
                <w:highlight w:val="none"/>
              </w:rPr>
            </w:pPr>
            <w:r>
              <w:rPr>
                <w:color w:val="auto"/>
                <w:highlight w:val="none"/>
              </w:rPr>
              <w:t xml:space="preserve">Тендерна пропозиція подається в електронному вигляді через електронну систему </w:t>
            </w:r>
            <w:r>
              <w:rPr>
                <w:color w:val="auto"/>
                <w:highlight w:val="none"/>
              </w:rPr>
              <w:t xml:space="preserve">закупівель</w:t>
            </w:r>
            <w:r>
              <w:rPr>
                <w:color w:val="auto"/>
                <w:highlight w:val="none"/>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w:t>
            </w:r>
            <w:r>
              <w:rPr>
                <w:color w:val="auto"/>
                <w:highlight w:val="none"/>
              </w:rPr>
              <w:t xml:space="preserve">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r>
              <w:rPr>
                <w:color w:val="auto"/>
                <w:highlight w:val="none"/>
              </w:rPr>
            </w:r>
            <w:r>
              <w:rPr>
                <w:color w:val="auto"/>
                <w:highlight w:val="none"/>
              </w:rPr>
            </w:r>
          </w:p>
          <w:p>
            <w:pPr>
              <w:widowControl w:val="false"/>
              <w:pBdr/>
              <w:spacing/>
              <w:ind w:right="113" w:hanging="21" w:left="34"/>
              <w:rPr>
                <w:color w:val="auto"/>
                <w:highlight w:val="none"/>
              </w:rPr>
            </w:pPr>
            <w:r>
              <w:rPr>
                <w:color w:val="auto"/>
                <w:highlight w:val="none"/>
              </w:rPr>
              <w:t xml:space="preserve">Тендерна пропозиція повинна складатися з:</w:t>
            </w:r>
            <w:r>
              <w:rPr>
                <w:color w:val="auto"/>
                <w:highlight w:val="none"/>
              </w:rPr>
            </w:r>
            <w:r>
              <w:rPr>
                <w:color w:val="auto"/>
                <w:highlight w:val="none"/>
              </w:rPr>
            </w:r>
          </w:p>
          <w:p>
            <w:pPr>
              <w:pBdr/>
              <w:spacing/>
              <w:ind/>
              <w:jc w:val="both"/>
              <w:rPr>
                <w:color w:val="auto"/>
                <w:highlight w:val="none"/>
              </w:rPr>
            </w:pPr>
            <w:r>
              <w:rPr>
                <w:color w:val="auto"/>
                <w:highlight w:val="none"/>
              </w:rPr>
              <w:t xml:space="preserve">1. Інформації та документів, що підтверджують відповідність Учасника кваліфікаційним критеріям (відповідно до п. 5 Розділу 3 тендерної документації).</w:t>
            </w:r>
            <w:r>
              <w:rPr>
                <w:color w:val="auto"/>
                <w:highlight w:val="none"/>
              </w:rPr>
            </w:r>
            <w:r>
              <w:rPr>
                <w:color w:val="auto"/>
                <w:highlight w:val="none"/>
              </w:rPr>
            </w:r>
          </w:p>
          <w:p>
            <w:pPr>
              <w:pBdr/>
              <w:spacing/>
              <w:ind/>
              <w:jc w:val="both"/>
              <w:rPr>
                <w:color w:val="auto"/>
                <w:highlight w:val="none"/>
              </w:rPr>
            </w:pPr>
            <w:r>
              <w:rPr>
                <w:color w:val="auto"/>
                <w:highlight w:val="none"/>
              </w:rPr>
              <w:t xml:space="preserve">2. Інформації та/або документів, що підтверджують відсутність підстав для відмови в участі у процедурі закупівлі, що визначені пунктом  47 Особливостей (відповідно до пункту п. 5 Розділу 3 тендерної документації). </w:t>
            </w:r>
            <w:r>
              <w:rPr>
                <w:color w:val="auto"/>
                <w:highlight w:val="none"/>
              </w:rPr>
            </w:r>
            <w:r>
              <w:rPr>
                <w:color w:val="auto"/>
                <w:highlight w:val="none"/>
              </w:rPr>
            </w:r>
          </w:p>
          <w:p>
            <w:pPr>
              <w:pBdr/>
              <w:spacing/>
              <w:ind/>
              <w:jc w:val="both"/>
              <w:rPr>
                <w:color w:val="auto"/>
                <w:highlight w:val="none"/>
              </w:rPr>
            </w:pPr>
            <w:r>
              <w:rPr>
                <w:color w:val="auto"/>
                <w:highlight w:val="none"/>
              </w:rPr>
              <w:t xml:space="preserve">3. Інформації про необхідні технічні, якісні та кількісні характеристики предмета закупівлі, у тому числі відповідної технічної специфікації (у раз</w:t>
            </w:r>
            <w:r>
              <w:rPr>
                <w:color w:val="auto"/>
                <w:highlight w:val="none"/>
              </w:rPr>
              <w:t xml:space="preserve">і потреби - плани, креслення, малюнки чи опис предмета закупівлі) та документів,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3).</w:t>
            </w:r>
            <w:r>
              <w:rPr>
                <w:color w:val="auto"/>
                <w:highlight w:val="none"/>
              </w:rPr>
            </w:r>
            <w:r>
              <w:rPr>
                <w:color w:val="auto"/>
                <w:highlight w:val="none"/>
              </w:rPr>
            </w:r>
          </w:p>
          <w:p>
            <w:pPr>
              <w:pBdr/>
              <w:spacing/>
              <w:ind w:firstLine="284"/>
              <w:jc w:val="both"/>
              <w:rPr>
                <w:color w:val="auto"/>
                <w:highlight w:val="none"/>
              </w:rPr>
            </w:pPr>
            <w:r>
              <w:rPr>
                <w:color w:val="auto"/>
                <w:highlight w:val="none"/>
              </w:rPr>
              <w:t xml:space="preserve">4.</w:t>
            </w:r>
            <w:r>
              <w:rPr>
                <w:color w:val="auto"/>
                <w:sz w:val="23"/>
                <w:szCs w:val="23"/>
                <w:highlight w:val="none"/>
              </w:rPr>
              <w:t xml:space="preserve"> </w:t>
            </w:r>
            <w:r>
              <w:rPr>
                <w:color w:val="auto"/>
                <w:highlight w:val="none"/>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Pr>
                <w:color w:val="auto"/>
                <w:highlight w:val="none"/>
              </w:rPr>
            </w:r>
            <w:r>
              <w:rPr>
                <w:color w:val="auto"/>
                <w:highlight w:val="none"/>
              </w:rPr>
            </w:r>
          </w:p>
          <w:p>
            <w:pPr>
              <w:pBdr/>
              <w:spacing/>
              <w:ind w:firstLine="284"/>
              <w:jc w:val="both"/>
              <w:rPr>
                <w:color w:val="auto"/>
                <w:highlight w:val="none"/>
              </w:rPr>
            </w:pPr>
            <w:r>
              <w:rPr>
                <w:color w:val="auto"/>
                <w:highlight w:val="none"/>
              </w:rPr>
              <w:t xml:space="preserve">4.1. У разі, якщо учасником є юридична особа, то учасн</w:t>
            </w:r>
            <w:r>
              <w:rPr>
                <w:color w:val="auto"/>
                <w:highlight w:val="none"/>
              </w:rPr>
              <w:t xml:space="preserve">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w:t>
            </w:r>
            <w:r>
              <w:rPr>
                <w:color w:val="auto"/>
                <w:highlight w:val="none"/>
              </w:rPr>
              <w:t xml:space="preserve">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r>
              <w:rPr>
                <w:color w:val="auto"/>
                <w:highlight w:val="none"/>
              </w:rPr>
            </w:r>
            <w:r>
              <w:rPr>
                <w:color w:val="auto"/>
                <w:highlight w:val="none"/>
              </w:rPr>
            </w:r>
          </w:p>
          <w:p>
            <w:pPr>
              <w:pBdr/>
              <w:spacing/>
              <w:ind w:firstLine="284"/>
              <w:jc w:val="both"/>
              <w:rPr>
                <w:color w:val="auto"/>
                <w:sz w:val="23"/>
                <w:szCs w:val="23"/>
                <w:highlight w:val="none"/>
              </w:rPr>
            </w:pPr>
            <w:r>
              <w:rPr>
                <w:color w:val="auto"/>
                <w:highlight w:val="none"/>
              </w:rPr>
              <w:t xml:space="preserve">4.2. У разі, якщо учасником є фізична особа або фізична особа-підприємець – копіями сторінок (1, 2, 3 </w:t>
            </w:r>
            <w:r>
              <w:rPr>
                <w:color w:val="auto"/>
                <w:highlight w:val="none"/>
              </w:rPr>
              <w:t xml:space="preserve">та сторінка, яка містить інформацію про прописку) паспорту громадянина або двосторонню копію паспорта громадянина У</w:t>
            </w:r>
            <w:r>
              <w:rPr>
                <w:color w:val="auto"/>
                <w:highlight w:val="none"/>
              </w:rPr>
              <w:t xml:space="preserve">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w:t>
            </w:r>
            <w:r>
              <w:rPr>
                <w:color w:val="auto"/>
                <w:highlight w:val="none"/>
              </w:rPr>
              <w:t xml:space="preserve">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color w:val="auto"/>
                <w:sz w:val="23"/>
                <w:szCs w:val="23"/>
                <w:highlight w:val="none"/>
              </w:rPr>
            </w:r>
            <w:r>
              <w:rPr>
                <w:color w:val="auto"/>
                <w:sz w:val="23"/>
                <w:szCs w:val="23"/>
                <w:highlight w:val="none"/>
              </w:rPr>
            </w:r>
          </w:p>
          <w:p>
            <w:pPr>
              <w:pBdr/>
              <w:spacing/>
              <w:ind/>
              <w:jc w:val="both"/>
              <w:rPr>
                <w:color w:val="auto"/>
                <w:highlight w:val="none"/>
              </w:rPr>
            </w:pPr>
            <w:r>
              <w:rPr>
                <w:color w:val="auto"/>
                <w:highlight w:val="none"/>
              </w:rPr>
              <w:t xml:space="preserve">5. Заповненого документа «Тендерна пропозиція», форма якого визначена цією тендерною документацією у Додатку 1;</w:t>
            </w:r>
            <w:r>
              <w:rPr>
                <w:color w:val="auto"/>
                <w:highlight w:val="none"/>
              </w:rPr>
            </w:r>
            <w:r>
              <w:rPr>
                <w:color w:val="auto"/>
                <w:highlight w:val="none"/>
              </w:rPr>
            </w:r>
          </w:p>
          <w:p>
            <w:pPr>
              <w:pBdr/>
              <w:spacing/>
              <w:ind/>
              <w:jc w:val="both"/>
              <w:rPr>
                <w:color w:val="auto"/>
                <w:highlight w:val="none"/>
              </w:rPr>
            </w:pPr>
            <w:r>
              <w:rPr>
                <w:color w:val="auto"/>
                <w:highlight w:val="none"/>
              </w:rPr>
              <w:t xml:space="preserve">6. Копія статуту або іншог</w:t>
            </w:r>
            <w:r>
              <w:rPr>
                <w:color w:val="auto"/>
                <w:highlight w:val="none"/>
              </w:rPr>
              <w:t xml:space="preserve">о установчого документа  в останній редакції (надається виключно Постачальниками, які за правовим статусом є юридичними особами). У випадку, якщо Постачальник діє на підставі модельного статуту, необхідно надати документ Постачальника, де зафіксовано рішен</w:t>
            </w:r>
            <w:r>
              <w:rPr>
                <w:color w:val="auto"/>
                <w:highlight w:val="none"/>
              </w:rPr>
              <w:t xml:space="preserve">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w:t>
            </w:r>
            <w:r>
              <w:rPr>
                <w:color w:val="auto"/>
                <w:highlight w:val="none"/>
              </w:rPr>
              <w:t xml:space="preserve">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r>
              <w:rPr>
                <w:color w:val="auto"/>
                <w:highlight w:val="none"/>
              </w:rPr>
            </w:r>
            <w:r>
              <w:rPr>
                <w:color w:val="auto"/>
                <w:highlight w:val="none"/>
              </w:rPr>
            </w:r>
          </w:p>
          <w:p>
            <w:pPr>
              <w:pBdr/>
              <w:spacing/>
              <w:ind/>
              <w:jc w:val="both"/>
              <w:rPr>
                <w:color w:val="auto"/>
                <w:highlight w:val="none"/>
              </w:rPr>
            </w:pPr>
            <w:r>
              <w:rPr>
                <w:color w:val="auto"/>
                <w:highlight w:val="none"/>
              </w:rPr>
              <w:t xml:space="preserve">7. У разі, якщо учасник за своєю організаційно-правовою формою є товари</w:t>
            </w:r>
            <w:r>
              <w:rPr>
                <w:color w:val="auto"/>
                <w:highlight w:val="none"/>
              </w:rPr>
              <w:t xml:space="preserve">ством з обмеженою та/або додатковою відповідальністю, такий учасник повинен надати у складі тендерної пропозиції довідку, складену в довільній формі і завірену підписом уповноваженої особи учасника, в якій необхідно зазначити у гривневому еквіваленті варті</w:t>
            </w:r>
            <w:r>
              <w:rPr>
                <w:color w:val="auto"/>
                <w:highlight w:val="none"/>
              </w:rPr>
              <w:t xml:space="preserve">сть чистих активів учасника відповідно до останньої затвердженої фінансової звітності відносно кінцевої дати подання тендерних пропозицій, останню затверджену фінансову звітність, складену та заповнену у відповідності до вимог законодавства та документ, як</w:t>
            </w:r>
            <w:r>
              <w:rPr>
                <w:color w:val="auto"/>
                <w:highlight w:val="none"/>
              </w:rPr>
              <w:t xml:space="preserve">им дану фінансову звітність було затверджено у відповідності до чинного законодавства України. У випадку, якщо вартість тендерної пропозиції учасника перевищує 50 відсотків вартості чистих активів товариства відповідно до останньої затвердженої фінансової </w:t>
            </w:r>
            <w:r>
              <w:rPr>
                <w:color w:val="auto"/>
                <w:highlight w:val="none"/>
              </w:rPr>
              <w:t xml:space="preserve">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(або іншого вищого органу управління) згідно змісту якого надається згода на вчинення значного правочину.</w:t>
            </w:r>
            <w:r>
              <w:rPr>
                <w:color w:val="auto"/>
                <w:highlight w:val="none"/>
              </w:rPr>
            </w:r>
            <w:r>
              <w:rPr>
                <w:color w:val="auto"/>
                <w:highlight w:val="none"/>
              </w:rPr>
            </w:r>
          </w:p>
          <w:p>
            <w:pPr>
              <w:pBdr/>
              <w:spacing/>
              <w:ind/>
              <w:jc w:val="both"/>
              <w:rPr>
                <w:color w:val="auto"/>
                <w:highlight w:val="none"/>
              </w:rPr>
            </w:pPr>
            <w:r>
              <w:rPr>
                <w:color w:val="auto"/>
                <w:highlight w:val="none"/>
              </w:rPr>
              <w:t xml:space="preserve">8. Довідки, яка містить відомості про учасника, з зазначенням наступної інформації: повне найменування/ПІБ учасника; код ЄДРПОУ/ідентифікаційний код учасника; місцезнаходження; телефон; факс; E-</w:t>
            </w:r>
            <w:r>
              <w:rPr>
                <w:color w:val="auto"/>
                <w:highlight w:val="none"/>
              </w:rPr>
              <w:t xml:space="preserve">mail</w:t>
            </w:r>
            <w:r>
              <w:rPr>
                <w:color w:val="auto"/>
                <w:highlight w:val="none"/>
              </w:rPr>
              <w:t xml:space="preserve">. </w:t>
            </w:r>
            <w:r>
              <w:rPr>
                <w:color w:val="auto"/>
                <w:highlight w:val="none"/>
              </w:rPr>
            </w:r>
            <w:r>
              <w:rPr>
                <w:color w:val="auto"/>
                <w:highlight w:val="none"/>
              </w:rPr>
            </w:r>
          </w:p>
          <w:p>
            <w:pPr>
              <w:pBdr/>
              <w:spacing/>
              <w:ind/>
              <w:jc w:val="both"/>
              <w:rPr>
                <w:color w:val="auto"/>
                <w:highlight w:val="none"/>
              </w:rPr>
            </w:pPr>
            <w:r>
              <w:rPr>
                <w:color w:val="auto"/>
                <w:highlight w:val="none"/>
              </w:rPr>
              <w:t xml:space="preserve">9. Довідка уповноваженого органу (ДПСУ) про інформацію щодо зареєстрованих рахунків учасника (довідка має бути видана після дати публікації закупівлі).</w:t>
            </w:r>
            <w:r>
              <w:rPr>
                <w:color w:val="auto"/>
                <w:highlight w:val="none"/>
              </w:rPr>
            </w:r>
            <w:r>
              <w:rPr>
                <w:color w:val="auto"/>
                <w:highlight w:val="none"/>
              </w:rPr>
            </w:r>
          </w:p>
          <w:p>
            <w:pPr>
              <w:pBdr/>
              <w:spacing/>
              <w:ind/>
              <w:jc w:val="both"/>
              <w:rPr>
                <w:color w:val="auto"/>
                <w:highlight w:val="none"/>
              </w:rPr>
            </w:pPr>
            <w:r>
              <w:rPr>
                <w:color w:val="auto"/>
                <w:highlight w:val="none"/>
              </w:rPr>
              <w:t xml:space="preserve">10. Довідки про відкриття рахунку та відсутності заборгованості по кредитним рахункам від усіх банківських установ в яких обслуговується учасник (довідка має бути видана після дати публікації закупівлі).</w:t>
            </w:r>
            <w:r>
              <w:rPr>
                <w:color w:val="auto"/>
                <w:highlight w:val="none"/>
              </w:rPr>
            </w:r>
            <w:r>
              <w:rPr>
                <w:color w:val="auto"/>
                <w:highlight w:val="none"/>
              </w:rPr>
            </w:r>
          </w:p>
          <w:p>
            <w:pPr>
              <w:pBdr/>
              <w:spacing/>
              <w:ind/>
              <w:jc w:val="both"/>
              <w:rPr>
                <w:color w:val="auto"/>
                <w:highlight w:val="none"/>
              </w:rPr>
            </w:pPr>
            <w:r>
              <w:rPr>
                <w:color w:val="auto"/>
                <w:highlight w:val="none"/>
              </w:rPr>
              <w:t xml:space="preserve">11. Іншої інформації та документів, що передбачені цією тендерною документацією.</w:t>
            </w:r>
            <w:r>
              <w:rPr>
                <w:color w:val="auto"/>
                <w:highlight w:val="none"/>
              </w:rPr>
            </w:r>
            <w:r>
              <w:rPr>
                <w:color w:val="auto"/>
                <w:highlight w:val="none"/>
              </w:rPr>
            </w:r>
          </w:p>
          <w:p>
            <w:pPr>
              <w:pBdr/>
              <w:shd w:val="clear" w:color="auto" w:fill="ffffff"/>
              <w:spacing/>
              <w:ind w:left="26"/>
              <w:jc w:val="both"/>
              <w:rPr>
                <w:b/>
                <w:i/>
                <w:color w:val="auto"/>
                <w:highlight w:val="none"/>
              </w:rPr>
            </w:pPr>
            <w:r>
              <w:rPr>
                <w:b/>
                <w:i/>
                <w:color w:val="auto"/>
                <w:highlight w:val="none"/>
              </w:rPr>
              <w:t xml:space="preserve">Кожен учасник має право подати тільки одну тендерну пропозицію.</w:t>
            </w:r>
            <w:r>
              <w:rPr>
                <w:b/>
                <w:i/>
                <w:color w:val="auto"/>
                <w:highlight w:val="none"/>
              </w:rPr>
            </w:r>
            <w:r>
              <w:rPr>
                <w:b/>
                <w:i/>
                <w:color w:val="auto"/>
                <w:highlight w:val="none"/>
              </w:rPr>
            </w:r>
          </w:p>
          <w:p>
            <w:pPr>
              <w:pBdr/>
              <w:shd w:val="clear" w:color="auto" w:fill="ffffff"/>
              <w:spacing/>
              <w:ind w:left="26"/>
              <w:jc w:val="both"/>
              <w:rPr>
                <w:b/>
                <w:color w:val="auto"/>
                <w:highlight w:val="none"/>
              </w:rPr>
            </w:pPr>
            <w:r>
              <w:rPr>
                <w:b/>
                <w:color w:val="auto"/>
                <w:highlight w:val="none"/>
              </w:rPr>
              <w:t xml:space="preserve">Документи, що входять до складу тендерної пропозиції (завантажуються при поданні) повинні бути скановані (в кольорі) і розташовані послідовно один-за-одним, таким чином, щоб зміст окремого документу не розривався.</w:t>
            </w:r>
            <w:r>
              <w:rPr>
                <w:b/>
                <w:color w:val="auto"/>
                <w:highlight w:val="none"/>
              </w:rPr>
            </w:r>
            <w:r>
              <w:rPr>
                <w:b/>
                <w:color w:val="auto"/>
                <w:highlight w:val="none"/>
              </w:rPr>
            </w:r>
          </w:p>
          <w:p>
            <w:pPr>
              <w:pBdr/>
              <w:spacing w:line="256" w:lineRule="auto"/>
              <w:ind/>
              <w:jc w:val="both"/>
              <w:rPr>
                <w:b/>
                <w:color w:val="auto"/>
                <w:highlight w:val="none"/>
              </w:rPr>
            </w:pPr>
            <w:r>
              <w:rPr>
                <w:b/>
                <w:color w:val="auto"/>
                <w:highlight w:val="none"/>
              </w:rPr>
              <w:t xml:space="preserve">Вимоги по оформленню тендерної пропозиції.</w:t>
            </w:r>
            <w:r>
              <w:rPr>
                <w:b/>
                <w:color w:val="auto"/>
                <w:highlight w:val="none"/>
              </w:rPr>
            </w:r>
            <w:r>
              <w:rPr>
                <w:b/>
                <w:color w:val="auto"/>
                <w:highlight w:val="none"/>
              </w:rPr>
            </w:r>
          </w:p>
          <w:p>
            <w:pPr>
              <w:pBdr/>
              <w:spacing w:line="256" w:lineRule="auto"/>
              <w:ind/>
              <w:jc w:val="both"/>
              <w:rPr>
                <w:color w:val="auto"/>
                <w:highlight w:val="none"/>
              </w:rPr>
            </w:pPr>
            <w:r>
              <w:rPr>
                <w:color w:val="auto"/>
                <w:highlight w:val="none"/>
              </w:rPr>
              <w:t xml:space="preserve">Всі документи, що входять до складу тендерної пропозиції надаються, за можливості, у форматі PDF (</w:t>
            </w:r>
            <w:r>
              <w:rPr>
                <w:color w:val="auto"/>
                <w:highlight w:val="none"/>
              </w:rPr>
              <w:t xml:space="preserve">Portable</w:t>
            </w:r>
            <w:r>
              <w:rPr>
                <w:color w:val="auto"/>
                <w:highlight w:val="none"/>
              </w:rPr>
              <w:t xml:space="preserve"> </w:t>
            </w:r>
            <w:r>
              <w:rPr>
                <w:color w:val="auto"/>
                <w:highlight w:val="none"/>
              </w:rPr>
              <w:t xml:space="preserve">Document</w:t>
            </w:r>
            <w:r>
              <w:rPr>
                <w:color w:val="auto"/>
                <w:highlight w:val="none"/>
              </w:rPr>
              <w:t xml:space="preserve"> </w:t>
            </w:r>
            <w:r>
              <w:rPr>
                <w:color w:val="auto"/>
                <w:highlight w:val="none"/>
              </w:rPr>
              <w:t xml:space="preserve">Format</w:t>
            </w:r>
            <w:r>
              <w:rPr>
                <w:color w:val="auto"/>
                <w:highlight w:val="none"/>
              </w:rPr>
              <w:t xml:space="preserve">). Скановані документи повинні бути розбірливими та читабельними. </w:t>
            </w:r>
            <w:r>
              <w:rPr>
                <w:color w:val="auto"/>
                <w:highlight w:val="none"/>
              </w:rPr>
            </w:r>
            <w:r>
              <w:rPr>
                <w:color w:val="auto"/>
                <w:highlight w:val="none"/>
              </w:rPr>
            </w:r>
          </w:p>
          <w:p>
            <w:pPr>
              <w:pBdr/>
              <w:spacing/>
              <w:ind w:hanging="20" w:left="40"/>
              <w:jc w:val="both"/>
              <w:rPr>
                <w:b/>
                <w:color w:val="auto"/>
                <w:highlight w:val="none"/>
              </w:rPr>
            </w:pPr>
            <w:r>
              <w:rPr>
                <w:b/>
                <w:color w:val="auto"/>
                <w:highlight w:val="none"/>
              </w:rPr>
              <w:t xml:space="preserve">УВАГА!!!</w:t>
            </w:r>
            <w:r>
              <w:rPr>
                <w:b/>
                <w:color w:val="auto"/>
                <w:highlight w:val="none"/>
              </w:rPr>
            </w:r>
            <w:r>
              <w:rPr>
                <w:b/>
                <w:color w:val="auto"/>
                <w:highlight w:val="none"/>
              </w:rPr>
            </w:r>
          </w:p>
          <w:p>
            <w:pPr>
              <w:pBdr/>
              <w:spacing/>
              <w:ind/>
              <w:jc w:val="both"/>
              <w:rPr>
                <w:color w:val="auto"/>
                <w:highlight w:val="none"/>
              </w:rPr>
            </w:pPr>
            <w:r>
              <w:rPr>
                <w:color w:val="auto"/>
                <w:highlight w:val="none"/>
              </w:rPr>
            </w:r>
            <w:bookmarkStart w:id="1" w:name="_30j0zll"/>
            <w:r>
              <w:rPr>
                <w:color w:val="auto"/>
                <w:highlight w:val="none"/>
              </w:rPr>
            </w:r>
            <w:bookmarkEnd w:id="1"/>
            <w:r>
              <w:rPr>
                <w:color w:val="auto"/>
                <w:highlight w:val="none"/>
              </w:rPr>
              <w:t xml:space="preserve">Відповідно до частини третьої статті 12 Закону під час використання електронної системи </w:t>
            </w:r>
            <w:r>
              <w:rPr>
                <w:color w:val="auto"/>
                <w:highlight w:val="none"/>
              </w:rPr>
              <w:t xml:space="preserve">закупівель</w:t>
            </w:r>
            <w:r>
              <w:rPr>
                <w:color w:val="auto"/>
                <w:highlight w:val="none"/>
              </w:rPr>
              <w:t xml:space="preserve"> з метою подання тендерних пропозицій та їх оцінки докумен</w:t>
            </w:r>
            <w:r>
              <w:rPr>
                <w:color w:val="auto"/>
                <w:highlight w:val="none"/>
              </w:rPr>
              <w:t xml:space="preserve">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Pr>
                <w:color w:val="auto"/>
                <w:highlight w:val="none"/>
              </w:rPr>
              <w:t xml:space="preserve">скан</w:t>
            </w:r>
            <w:r>
              <w:rPr>
                <w:color w:val="auto"/>
                <w:highlight w:val="none"/>
              </w:rPr>
              <w:t xml:space="preserve">-копій через електронну систему </w:t>
            </w:r>
            <w:r>
              <w:rPr>
                <w:color w:val="auto"/>
                <w:highlight w:val="none"/>
              </w:rPr>
              <w:t xml:space="preserve">закупівель</w:t>
            </w:r>
            <w:r>
              <w:rPr>
                <w:color w:val="auto"/>
                <w:highlight w:val="none"/>
              </w:rPr>
              <w:t xml:space="preserve">. Тендерна пропозиція учасника має відповідати ряду вимог: </w:t>
            </w:r>
            <w:r>
              <w:rPr>
                <w:color w:val="auto"/>
                <w:highlight w:val="none"/>
              </w:rPr>
            </w:r>
            <w:r>
              <w:rPr>
                <w:color w:val="auto"/>
                <w:highlight w:val="none"/>
              </w:rPr>
            </w:r>
          </w:p>
          <w:p>
            <w:pPr>
              <w:pBdr/>
              <w:spacing/>
              <w:ind/>
              <w:jc w:val="both"/>
              <w:rPr>
                <w:color w:val="auto"/>
                <w:highlight w:val="none"/>
              </w:rPr>
            </w:pPr>
            <w:r>
              <w:rPr>
                <w:color w:val="auto"/>
                <w:highlight w:val="none"/>
              </w:rPr>
              <w:t xml:space="preserve">1) документи мають бути чіткими та розбірливими для читання;</w:t>
            </w:r>
            <w:r>
              <w:rPr>
                <w:color w:val="auto"/>
                <w:highlight w:val="none"/>
              </w:rPr>
            </w:r>
            <w:r>
              <w:rPr>
                <w:color w:val="auto"/>
                <w:highlight w:val="none"/>
              </w:rPr>
            </w:r>
          </w:p>
          <w:p>
            <w:pPr>
              <w:pBdr/>
              <w:spacing/>
              <w:ind/>
              <w:jc w:val="both"/>
              <w:rPr>
                <w:color w:val="auto"/>
                <w:highlight w:val="none"/>
              </w:rPr>
            </w:pPr>
            <w:r>
              <w:rPr>
                <w:color w:val="auto"/>
                <w:highlight w:val="none"/>
              </w:rPr>
              <w:t xml:space="preserve">2) тендерна пропозиція учасника повинна бути підписана  </w:t>
            </w:r>
            <w:r>
              <w:rPr>
                <w:color w:val="auto"/>
                <w:highlight w:val="none"/>
              </w:rPr>
              <w:t xml:space="preserve">кваліфікованим електронним підписом (КЕП)/удосконаленим електронним підпи</w:t>
            </w:r>
            <w:r>
              <w:rPr>
                <w:color w:val="auto"/>
                <w:highlight w:val="none"/>
              </w:rPr>
              <w:t xml:space="preserve">сом (УЕП)</w:t>
            </w:r>
            <w:r>
              <w:rPr>
                <w:color w:val="auto"/>
                <w:highlight w:val="none"/>
              </w:rPr>
              <w:t xml:space="preserve">;</w:t>
            </w:r>
            <w:r>
              <w:rPr>
                <w:color w:val="auto"/>
                <w:highlight w:val="none"/>
              </w:rPr>
            </w:r>
            <w:r>
              <w:rPr>
                <w:color w:val="auto"/>
                <w:highlight w:val="none"/>
              </w:rPr>
            </w:r>
          </w:p>
          <w:p>
            <w:pPr>
              <w:pBdr/>
              <w:spacing/>
              <w:ind/>
              <w:jc w:val="both"/>
              <w:rPr>
                <w:color w:val="auto"/>
                <w:highlight w:val="none"/>
              </w:rPr>
            </w:pPr>
            <w:r>
              <w:rPr>
                <w:color w:val="auto"/>
                <w:highlight w:val="none"/>
              </w:rPr>
              <w:t xml:space="preserve">3) якщо тендерна пропозиція містить і скановані, і електронні документи, потрібно накласти </w:t>
            </w:r>
            <w:r>
              <w:rPr>
                <w:color w:val="auto"/>
                <w:highlight w:val="none"/>
              </w:rPr>
              <w:t xml:space="preserve">КЕП/УЕП</w:t>
            </w:r>
            <w:r>
              <w:rPr>
                <w:color w:val="auto"/>
                <w:highlight w:val="none"/>
              </w:rPr>
              <w:t xml:space="preserve"> на тендерну пропозицію в цілому та на кожен електронний документ окремо.</w:t>
            </w:r>
            <w:r>
              <w:rPr>
                <w:color w:val="auto"/>
                <w:highlight w:val="none"/>
              </w:rPr>
            </w:r>
            <w:r>
              <w:rPr>
                <w:color w:val="auto"/>
                <w:highlight w:val="none"/>
              </w:rPr>
            </w:r>
          </w:p>
          <w:p>
            <w:pPr>
              <w:pBdr/>
              <w:spacing/>
              <w:ind/>
              <w:jc w:val="both"/>
              <w:rPr>
                <w:color w:val="auto"/>
                <w:highlight w:val="none"/>
              </w:rPr>
            </w:pPr>
            <w:r>
              <w:rPr>
                <w:color w:val="auto"/>
                <w:highlight w:val="none"/>
              </w:rPr>
              <w:t xml:space="preserve">Винятки:</w:t>
            </w:r>
            <w:r>
              <w:rPr>
                <w:color w:val="auto"/>
                <w:highlight w:val="none"/>
              </w:rPr>
            </w:r>
            <w:r>
              <w:rPr>
                <w:color w:val="auto"/>
                <w:highlight w:val="none"/>
              </w:rPr>
            </w:r>
          </w:p>
          <w:p>
            <w:pPr>
              <w:pBdr/>
              <w:spacing/>
              <w:ind/>
              <w:jc w:val="both"/>
              <w:rPr>
                <w:color w:val="auto"/>
                <w:highlight w:val="none"/>
              </w:rPr>
            </w:pPr>
            <w:r>
              <w:rPr>
                <w:color w:val="auto"/>
                <w:highlight w:val="none"/>
              </w:rPr>
              <w:t xml:space="preserve">1) якщо електронні документи тендерної пропозиції видано іншою організацією і на них уже накладено </w:t>
            </w:r>
            <w:r>
              <w:rPr>
                <w:color w:val="auto"/>
                <w:highlight w:val="none"/>
              </w:rPr>
              <w:t xml:space="preserve">КЕП/УЕП</w:t>
            </w:r>
            <w:r>
              <w:rPr>
                <w:color w:val="auto"/>
                <w:highlight w:val="none"/>
              </w:rPr>
              <w:t xml:space="preserve"> цієї організації, учаснику не потрібно накладати на нього свій </w:t>
            </w:r>
            <w:r>
              <w:rPr>
                <w:color w:val="auto"/>
                <w:highlight w:val="none"/>
              </w:rPr>
              <w:t xml:space="preserve">КЕП/УЕП</w:t>
            </w:r>
            <w:r>
              <w:rPr>
                <w:color w:val="auto"/>
                <w:highlight w:val="none"/>
              </w:rPr>
              <w:t xml:space="preserve">.</w:t>
            </w:r>
            <w:r>
              <w:rPr>
                <w:color w:val="auto"/>
                <w:highlight w:val="none"/>
              </w:rPr>
            </w:r>
            <w:r>
              <w:rPr>
                <w:color w:val="auto"/>
                <w:highlight w:val="none"/>
              </w:rPr>
            </w:r>
          </w:p>
          <w:p>
            <w:pPr>
              <w:pBdr/>
              <w:spacing/>
              <w:ind/>
              <w:jc w:val="both"/>
              <w:rPr>
                <w:color w:val="auto"/>
                <w:highlight w:val="none"/>
              </w:rPr>
            </w:pPr>
            <w:r>
              <w:rPr>
                <w:color w:val="auto"/>
                <w:highlight w:val="none"/>
              </w:rPr>
              <w:t xml:space="preserve">Зверніть увагу: документи тендерної пропозиції, які надані не у формі електронного документа (без </w:t>
            </w:r>
            <w:r>
              <w:rPr>
                <w:color w:val="auto"/>
                <w:highlight w:val="none"/>
              </w:rPr>
              <w:t xml:space="preserve">КЕП/УЕП</w:t>
            </w:r>
            <w:r>
              <w:rPr>
                <w:color w:val="auto"/>
                <w:highlight w:val="none"/>
              </w:rPr>
              <w:t xml:space="preserve"> на документі), повинні містити підпис уповноваж</w:t>
            </w:r>
            <w:r>
              <w:rPr>
                <w:color w:val="auto"/>
                <w:highlight w:val="none"/>
              </w:rPr>
              <w:t xml:space="preserve">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r>
              <w:rPr>
                <w:color w:val="auto"/>
                <w:highlight w:val="none"/>
              </w:rPr>
            </w:r>
            <w:r>
              <w:rPr>
                <w:color w:val="auto"/>
                <w:highlight w:val="none"/>
              </w:rPr>
            </w:r>
          </w:p>
          <w:p>
            <w:pPr>
              <w:pBdr/>
              <w:spacing/>
              <w:ind w:hanging="20" w:left="40"/>
              <w:jc w:val="both"/>
              <w:rPr>
                <w:color w:val="auto"/>
                <w:highlight w:val="none"/>
              </w:rPr>
            </w:pPr>
            <w:r>
              <w:rPr>
                <w:color w:val="auto"/>
                <w:highlight w:val="none"/>
              </w:rPr>
              <w:t xml:space="preserve">Замовник не вимагає від</w:t>
            </w:r>
            <w:r>
              <w:rPr>
                <w:color w:val="auto"/>
                <w:highlight w:val="none"/>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color w:val="auto"/>
                <w:highlight w:val="none"/>
              </w:rPr>
              <w:t xml:space="preserve">закупівель</w:t>
            </w:r>
            <w:r>
              <w:rPr>
                <w:color w:val="auto"/>
                <w:highlight w:val="none"/>
              </w:rPr>
              <w:t xml:space="preserve"> </w:t>
            </w:r>
            <w:r>
              <w:rPr>
                <w:color w:val="auto"/>
                <w:highlight w: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Pr>
                <w:color w:val="auto"/>
                <w:highlight w:val="none"/>
              </w:rPr>
            </w:r>
            <w:r>
              <w:rPr>
                <w:color w:val="auto"/>
                <w:highlight w:val="none"/>
              </w:rPr>
            </w:r>
          </w:p>
          <w:p>
            <w:pPr>
              <w:pBdr/>
              <w:spacing/>
              <w:ind w:hanging="20" w:left="40"/>
              <w:jc w:val="both"/>
              <w:rPr>
                <w:color w:val="auto"/>
                <w:highlight w:val="none"/>
              </w:rPr>
            </w:pPr>
            <w:r>
              <w:rPr>
                <w:color w:val="auto"/>
                <w:highlight w:val="none"/>
              </w:rPr>
              <w:t xml:space="preserve">Замовник перевіряє </w:t>
            </w:r>
            <w:r>
              <w:rPr>
                <w:color w:val="auto"/>
                <w:highlight w:val="none"/>
              </w:rPr>
              <w:t xml:space="preserve">КЕП/УЕП</w:t>
            </w:r>
            <w:r>
              <w:rPr>
                <w:color w:val="auto"/>
                <w:highlight w:val="none"/>
              </w:rPr>
              <w:t xml:space="preserve"> учасника на сайті центрального </w:t>
            </w:r>
            <w:r>
              <w:rPr>
                <w:color w:val="auto"/>
                <w:highlight w:val="none"/>
              </w:rPr>
              <w:t xml:space="preserve">засвідчувального</w:t>
            </w:r>
            <w:r>
              <w:rPr>
                <w:color w:val="auto"/>
                <w:highlight w:val="none"/>
              </w:rPr>
              <w:t xml:space="preserve"> органу за посиланням https://czo.gov.ua/verify. Під час перевірки </w:t>
            </w:r>
            <w:r>
              <w:rPr>
                <w:color w:val="auto"/>
                <w:highlight w:val="none"/>
              </w:rPr>
              <w:t xml:space="preserve">КЕП/УЕП</w:t>
            </w:r>
            <w:r>
              <w:rPr>
                <w:color w:val="auto"/>
                <w:highlight w:val="none"/>
              </w:rPr>
              <w:t xml:space="preserve"> повинні відображатися: прізвище та ініціали особи, уповноваженої на підписання тендерної пропозиції (власника ключа). </w:t>
            </w:r>
            <w:r>
              <w:rPr>
                <w:color w:val="auto"/>
                <w:highlight w:val="none"/>
              </w:rPr>
            </w:r>
            <w:r>
              <w:rPr>
                <w:color w:val="auto"/>
                <w:highlight w:val="none"/>
              </w:rPr>
            </w:r>
          </w:p>
          <w:p>
            <w:pPr>
              <w:pBdr/>
              <w:spacing w:line="256" w:lineRule="auto"/>
              <w:ind/>
              <w:jc w:val="both"/>
              <w:rPr>
                <w:color w:val="auto"/>
                <w:highlight w:val="none"/>
              </w:rPr>
            </w:pPr>
            <w:r>
              <w:rPr>
                <w:b/>
                <w:color w:val="auto"/>
                <w:highlight w:val="none"/>
              </w:rPr>
              <w:t xml:space="preserve">* </w:t>
            </w:r>
            <w:r>
              <w:rPr>
                <w:i/>
                <w:color w:val="auto"/>
                <w:highlight w:val="none"/>
              </w:rPr>
              <w:t xml:space="preserve">Вимога про скріплення печаткою не стосується учасників, які здійснюють діяльність без печатки згідно з чинним законодавством.</w:t>
            </w:r>
            <w:r>
              <w:rPr>
                <w:color w:val="auto"/>
                <w:highlight w:val="none"/>
              </w:rPr>
              <w:t xml:space="preserve"> </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Тендерні пропозиції після закінчення кінцевого строку їх подання не приймаються електронною системою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widowControl w:val="false"/>
              <w:pBdr/>
              <w:spacing/>
              <w:ind w:right="146" w:left="84"/>
              <w:jc w:val="both"/>
              <w:rPr>
                <w:b/>
                <w:i/>
                <w:color w:val="auto"/>
                <w:highlight w:val="none"/>
              </w:rPr>
            </w:pPr>
            <w:r>
              <w:rPr>
                <w:b/>
                <w:i/>
                <w:color w:val="auto"/>
                <w:highlight w:val="none"/>
              </w:rPr>
              <w:t xml:space="preserve">Опис та приклади формальних несуттєвих помилок.</w:t>
            </w:r>
            <w:r>
              <w:rPr>
                <w:b/>
                <w:i/>
                <w:color w:val="auto"/>
                <w:highlight w:val="none"/>
              </w:rPr>
            </w:r>
            <w:r>
              <w:rPr>
                <w:b/>
                <w:i/>
                <w:color w:val="auto"/>
                <w:highlight w:val="none"/>
              </w:rPr>
            </w:r>
          </w:p>
          <w:p>
            <w:pPr>
              <w:widowControl w:val="false"/>
              <w:pBdr/>
              <w:spacing/>
              <w:ind w:right="146" w:left="84"/>
              <w:jc w:val="both"/>
              <w:rPr>
                <w:color w:val="auto"/>
                <w:highlight w:val="none"/>
              </w:rPr>
            </w:pPr>
            <w:r>
              <w:rPr>
                <w:color w:val="auto"/>
                <w:highlight w:val="none"/>
              </w:rPr>
              <w:t xml:space="preserve">Згідно з наказом Мінекономіки від 15.04.2020 № 710 «Про затвердження Перелік</w:t>
            </w:r>
            <w:r>
              <w:rPr>
                <w:color w:val="auto"/>
                <w:highlight w:val="none"/>
              </w:rPr>
              <w:t xml:space="preserve">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color w:val="auto"/>
                <w:highlight w:val="none"/>
              </w:rPr>
            </w:r>
            <w:r>
              <w:rPr>
                <w:color w:val="auto"/>
                <w:highlight w:val="none"/>
              </w:rPr>
            </w:r>
          </w:p>
          <w:p>
            <w:pPr>
              <w:widowControl w:val="false"/>
              <w:pBdr/>
              <w:spacing/>
              <w:ind w:right="146" w:left="84"/>
              <w:jc w:val="both"/>
              <w:rPr>
                <w:i/>
                <w:color w:val="auto"/>
                <w:highlight w:val="none"/>
                <w:u w:val="single"/>
              </w:rPr>
            </w:pPr>
            <w:r>
              <w:rPr>
                <w:i/>
                <w:color w:val="auto"/>
                <w:highlight w:val="none"/>
                <w:u w:val="single"/>
              </w:rPr>
              <w:t xml:space="preserve">Опис формальних помилок:</w:t>
            </w:r>
            <w:r>
              <w:rPr>
                <w:i/>
                <w:color w:val="auto"/>
                <w:highlight w:val="none"/>
                <w:u w:val="single"/>
              </w:rPr>
            </w:r>
            <w:r>
              <w:rPr>
                <w:i/>
                <w:color w:val="auto"/>
                <w:highlight w:val="none"/>
                <w:u w:val="single"/>
              </w:rPr>
            </w:r>
          </w:p>
          <w:p>
            <w:pPr>
              <w:widowControl w:val="false"/>
              <w:pBdr/>
              <w:spacing/>
              <w:ind w:right="146" w:left="84"/>
              <w:jc w:val="both"/>
              <w:rPr>
                <w:color w:val="auto"/>
                <w:highlight w:val="none"/>
              </w:rPr>
            </w:pPr>
            <w:r>
              <w:rPr>
                <w:color w:val="auto"/>
                <w:highlight w:val="none"/>
              </w:rPr>
              <w:t xml:space="preserve">1.</w:t>
            </w:r>
            <w:r>
              <w:rPr>
                <w:color w:val="auto"/>
                <w:highlight w:val="none"/>
              </w:rPr>
              <w:tab/>
              <w:t xml:space="preserve">Інформація / документ, подана учасником процедури закупівлі у складі тендерної пропозиції, містить помилку (помилки) у частині: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уживання великої літери;</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уживання розділових знаків та відмінювання слів у реченні;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використання слова або </w:t>
            </w:r>
            <w:r>
              <w:rPr>
                <w:color w:val="auto"/>
                <w:highlight w:val="none"/>
              </w:rPr>
              <w:t xml:space="preserve">мовного</w:t>
            </w:r>
            <w:r>
              <w:rPr>
                <w:color w:val="auto"/>
                <w:highlight w:val="none"/>
              </w:rPr>
              <w:t xml:space="preserve"> звороту, запозичених з іншої мови;</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зазначення унікального номера оголошення </w:t>
            </w:r>
            <w:r>
              <w:rPr>
                <w:color w:val="auto"/>
                <w:highlight w:val="none"/>
              </w:rPr>
              <w:t xml:space="preserve">про проведення конкурентної процедури закупівлі, присвоєного електронною системою </w:t>
            </w:r>
            <w:r>
              <w:rPr>
                <w:color w:val="auto"/>
                <w:highlight w:val="none"/>
              </w:rPr>
              <w:t xml:space="preserve">закупівель</w:t>
            </w:r>
            <w:r>
              <w:rPr>
                <w:color w:val="auto"/>
                <w:highlight w:val="none"/>
              </w:rPr>
              <w:t xml:space="preserve"> та/або унікального номера повідомлення про намір укласти договір про закупівлю - помилка в цифрах;</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застосування правил переносу частини слова з рядка в рядок;</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w:t>
            </w:r>
            <w:r>
              <w:rPr>
                <w:color w:val="auto"/>
                <w:highlight w:val="none"/>
              </w:rPr>
              <w:tab/>
              <w:t xml:space="preserve">написання слів разом та/або окремо, та/або через дефіс;</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2.</w:t>
            </w:r>
            <w:r>
              <w:rPr>
                <w:color w:val="auto"/>
                <w:highlight w:val="none"/>
              </w:rPr>
              <w:tab/>
              <w:t xml:space="preserve">Помилка, зроблена учасником процедури закупівлі під час оформлення тексту до</w:t>
            </w:r>
            <w:r>
              <w:rPr>
                <w:color w:val="auto"/>
                <w:highlight w:val="none"/>
              </w:rPr>
              <w:t xml:space="preserve">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w:t>
            </w:r>
            <w:r>
              <w:rPr>
                <w:color w:val="auto"/>
                <w:highlight w:val="none"/>
              </w:rPr>
              <w:t xml:space="preserve">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3.</w:t>
            </w:r>
            <w:r>
              <w:rPr>
                <w:color w:val="auto"/>
                <w:highlight w:val="none"/>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4.</w:t>
            </w:r>
            <w:r>
              <w:rPr>
                <w:color w:val="auto"/>
                <w:highlight w:val="none"/>
              </w:rPr>
              <w:tab/>
              <w:t xml:space="preserve">Окрема сторінка (сторінки) копії документа (документів) не завірена підписом та / або печаткою учасника процедури закупівлі (у разі її використання).</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5.</w:t>
            </w:r>
            <w:r>
              <w:rPr>
                <w:color w:val="auto"/>
                <w:highlight w:val="none"/>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6.</w:t>
            </w:r>
            <w:r>
              <w:rPr>
                <w:color w:val="auto"/>
                <w:highlight w:val="none"/>
              </w:rPr>
              <w:tab/>
              <w:t xml:space="preserve">По</w:t>
            </w:r>
            <w:r>
              <w:rPr>
                <w:color w:val="auto"/>
                <w:highlight w:val="none"/>
              </w:rP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7.</w:t>
            </w:r>
            <w:r>
              <w:rPr>
                <w:color w:val="auto"/>
                <w:highlight w:val="none"/>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8.</w:t>
            </w:r>
            <w:r>
              <w:rPr>
                <w:color w:val="auto"/>
                <w:highlight w:val="none"/>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9.</w:t>
            </w:r>
            <w:r>
              <w:rPr>
                <w:color w:val="auto"/>
                <w:highlight w:val="none"/>
              </w:rPr>
              <w:tab/>
              <w:t xml:space="preserve">Подання документа учасником процедури </w:t>
            </w:r>
            <w:r>
              <w:rPr>
                <w:color w:val="auto"/>
                <w:highlight w:val="none"/>
              </w:rPr>
              <w:t xml:space="preserve">закупівлі у складі тендерної</w:t>
            </w:r>
            <w:r>
              <w:rPr>
                <w:color w:val="auto"/>
                <w:highlight w:val="none"/>
              </w:rP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10.</w:t>
            </w:r>
            <w:r>
              <w:rPr>
                <w:color w:val="auto"/>
                <w:highlight w:val="none"/>
              </w:rPr>
              <w:tab/>
              <w:t xml:space="preserve">Подання документа (документів) учасником процедури закупівлі у складі тендерної пропозиції, що місти</w:t>
            </w:r>
            <w:r>
              <w:rPr>
                <w:color w:val="auto"/>
                <w:highlight w:val="none"/>
              </w:rP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11.</w:t>
            </w:r>
            <w:r>
              <w:rPr>
                <w:color w:val="auto"/>
                <w:highlight w:val="none"/>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12.</w:t>
            </w:r>
            <w:r>
              <w:rPr>
                <w:color w:val="auto"/>
                <w:highlight w:val="none"/>
              </w:rPr>
              <w:tab/>
            </w:r>
            <w:r>
              <w:rPr>
                <w:color w:val="auto"/>
                <w:highlight w:val="none"/>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color w:val="auto"/>
                <w:highlight w:val="none"/>
              </w:rPr>
            </w:r>
            <w:r>
              <w:rPr>
                <w:color w:val="auto"/>
                <w:highlight w:val="none"/>
              </w:rPr>
            </w:r>
          </w:p>
          <w:p>
            <w:pPr>
              <w:widowControl w:val="false"/>
              <w:pBdr/>
              <w:spacing/>
              <w:ind w:right="146" w:left="84"/>
              <w:jc w:val="both"/>
              <w:rPr>
                <w:i/>
                <w:color w:val="auto"/>
                <w:highlight w:val="none"/>
                <w:u w:val="single"/>
              </w:rPr>
            </w:pPr>
            <w:r>
              <w:rPr>
                <w:i/>
                <w:color w:val="auto"/>
                <w:highlight w:val="none"/>
                <w:u w:val="single"/>
              </w:rPr>
              <w:t xml:space="preserve">Приклади формальних помилок:</w:t>
            </w:r>
            <w:r>
              <w:rPr>
                <w:i/>
                <w:color w:val="auto"/>
                <w:highlight w:val="none"/>
                <w:u w:val="single"/>
              </w:rPr>
            </w:r>
            <w:r>
              <w:rPr>
                <w:i/>
                <w:color w:val="auto"/>
                <w:highlight w:val="none"/>
                <w:u w:val="single"/>
              </w:rPr>
            </w:r>
          </w:p>
          <w:p>
            <w:pPr>
              <w:widowControl w:val="false"/>
              <w:pBdr/>
              <w:spacing/>
              <w:ind w:right="146" w:left="84"/>
              <w:jc w:val="both"/>
              <w:rPr>
                <w:color w:val="auto"/>
                <w:highlight w:val="none"/>
              </w:rPr>
            </w:pPr>
            <w:r>
              <w:rPr>
                <w:color w:val="auto"/>
                <w:highlight w: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w:t>
            </w:r>
            <w:r>
              <w:rPr>
                <w:color w:val="auto"/>
                <w:highlight w:val="none"/>
              </w:rPr>
              <w:t xml:space="preserve">м.київ</w:t>
            </w:r>
            <w:r>
              <w:rPr>
                <w:color w:val="auto"/>
                <w:highlight w:val="none"/>
              </w:rPr>
              <w:t xml:space="preserve">» замість «</w:t>
            </w:r>
            <w:r>
              <w:rPr>
                <w:color w:val="auto"/>
                <w:highlight w:val="none"/>
              </w:rPr>
              <w:t xml:space="preserve">м.Київ</w:t>
            </w:r>
            <w:r>
              <w:rPr>
                <w:color w:val="auto"/>
                <w:highlight w:val="none"/>
              </w:rPr>
              <w:t xml:space="preserve">»;</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«поряд -</w:t>
            </w:r>
            <w:r>
              <w:rPr>
                <w:color w:val="auto"/>
                <w:highlight w:val="none"/>
              </w:rPr>
              <w:t xml:space="preserve">ок</w:t>
            </w:r>
            <w:r>
              <w:rPr>
                <w:color w:val="auto"/>
                <w:highlight w:val="none"/>
              </w:rPr>
              <w:t xml:space="preserve">» замість «</w:t>
            </w:r>
            <w:r>
              <w:rPr>
                <w:color w:val="auto"/>
                <w:highlight w:val="none"/>
              </w:rPr>
              <w:t xml:space="preserve">поря</w:t>
            </w:r>
            <w:r>
              <w:rPr>
                <w:color w:val="auto"/>
                <w:highlight w:val="none"/>
              </w:rPr>
              <w:t xml:space="preserve"> – док»;</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w:t>
            </w:r>
            <w:r>
              <w:rPr>
                <w:color w:val="auto"/>
                <w:highlight w:val="none"/>
              </w:rPr>
              <w:t xml:space="preserve">ненадається</w:t>
            </w:r>
            <w:r>
              <w:rPr>
                <w:color w:val="auto"/>
                <w:highlight w:val="none"/>
              </w:rPr>
              <w:t xml:space="preserve">» замість «не надається»»;</w:t>
            </w:r>
            <w:r>
              <w:rPr>
                <w:color w:val="auto"/>
                <w:highlight w:val="none"/>
              </w:rPr>
            </w:r>
            <w:r>
              <w:rPr>
                <w:color w:val="auto"/>
                <w:highlight w:val="none"/>
              </w:rPr>
            </w:r>
          </w:p>
          <w:p>
            <w:pPr>
              <w:widowControl w:val="false"/>
              <w:pBdr/>
              <w:spacing/>
              <w:ind w:right="146" w:left="84"/>
              <w:jc w:val="both"/>
              <w:rPr>
                <w:color w:val="auto"/>
                <w:highlight w:val="none"/>
              </w:rPr>
            </w:pPr>
            <w:r>
              <w:rPr>
                <w:color w:val="auto"/>
                <w:highlight w:val="none"/>
              </w:rPr>
              <w:t xml:space="preserve">- «______________№_____________» замість «14.08.2020 №320/13/14-01»</w:t>
            </w:r>
            <w:r>
              <w:rPr>
                <w:color w:val="auto"/>
                <w:highlight w:val="none"/>
              </w:rPr>
            </w:r>
            <w:r>
              <w:rPr>
                <w:color w:val="auto"/>
                <w:highlight w:val="none"/>
              </w:rPr>
            </w:r>
          </w:p>
          <w:p>
            <w:pPr>
              <w:widowControl w:val="false"/>
              <w:pBdr/>
              <w:spacing/>
              <w:ind w:right="146" w:left="84"/>
              <w:jc w:val="both"/>
              <w:rPr>
                <w:i/>
                <w:color w:val="auto"/>
                <w:highlight w:val="none"/>
              </w:rPr>
            </w:pPr>
            <w:r>
              <w:rPr>
                <w:color w:val="auto"/>
                <w:highlight w:val="none"/>
              </w:rPr>
              <w:t xml:space="preserve">- учасник розмістив (завантажив) документ у форматі «JPG» замість  документа у форматі «</w:t>
            </w:r>
            <w:r>
              <w:rPr>
                <w:color w:val="auto"/>
                <w:highlight w:val="none"/>
              </w:rPr>
              <w:t xml:space="preserve">pdf</w:t>
            </w:r>
            <w:r>
              <w:rPr>
                <w:color w:val="auto"/>
                <w:highlight w:val="none"/>
              </w:rPr>
              <w:t xml:space="preserve">» (</w:t>
            </w:r>
            <w:r>
              <w:rPr>
                <w:color w:val="auto"/>
                <w:highlight w:val="none"/>
              </w:rPr>
              <w:t xml:space="preserve">Portable</w:t>
            </w:r>
            <w:r>
              <w:rPr>
                <w:color w:val="auto"/>
                <w:highlight w:val="none"/>
              </w:rPr>
              <w:t xml:space="preserve"> </w:t>
            </w:r>
            <w:r>
              <w:rPr>
                <w:color w:val="auto"/>
                <w:highlight w:val="none"/>
              </w:rPr>
              <w:t xml:space="preserve">Document</w:t>
            </w:r>
            <w:r>
              <w:rPr>
                <w:color w:val="auto"/>
                <w:highlight w:val="none"/>
              </w:rPr>
              <w:t xml:space="preserve"> </w:t>
            </w:r>
            <w:r>
              <w:rPr>
                <w:color w:val="auto"/>
                <w:highlight w:val="none"/>
              </w:rPr>
              <w:t xml:space="preserve">Format</w:t>
            </w:r>
            <w:r>
              <w:rPr>
                <w:color w:val="auto"/>
                <w:highlight w:val="none"/>
              </w:rPr>
              <w:t xml:space="preserve">)». </w:t>
            </w:r>
            <w:r>
              <w:rPr>
                <w:i/>
                <w:color w:val="auto"/>
                <w:highlight w:val="none"/>
              </w:rPr>
            </w:r>
            <w:r>
              <w:rPr>
                <w:i/>
                <w:color w:val="auto"/>
                <w:highlight w:val="none"/>
              </w:rPr>
            </w:r>
          </w:p>
        </w:tc>
      </w:tr>
      <w:tr>
        <w:trPr>
          <w:trHeight w:val="410"/>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Pr>
                <w:b/>
                <w:color w:val="auto"/>
                <w:highlight w:val="none"/>
              </w:rPr>
            </w:pPr>
            <w:r>
              <w:rPr>
                <w:b/>
                <w:color w:val="auto"/>
                <w:highlight w:val="none"/>
              </w:rPr>
              <w:t xml:space="preserve">Забезпечення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вимагає надання учасниками забезпечення тендерної пропозиції: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вид забезпечення тендерної пропозиції: електронна банківська гарантія;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розмір забезпечення тендерної пропозиції – 40 000 (сорок тисяч гривень 00 копійок);</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строк дії забезпечення тендерної пропозиції: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90 (дев’яносто)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 банківська гарантія оформляється  та пов</w:t>
            </w:r>
            <w:r>
              <w:rPr>
                <w:color w:val="auto"/>
                <w:highlight w:val="none"/>
              </w:rPr>
              <w:t xml:space="preserve">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w:t>
            </w:r>
            <w:r>
              <w:rPr>
                <w:color w:val="auto"/>
                <w:highlight w:val="none"/>
              </w:rPr>
              <w:t xml:space="preserve">економіки, торгівлі та сільського господарства Про затвердження форми і Вимог до забезпечення тендерної пропозиції/пропозиції від 14.12.2020 № 2628.</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III цієї тендерної документації.</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w:t>
            </w:r>
            <w:r>
              <w:rPr>
                <w:color w:val="auto"/>
                <w:highlight w:val="none"/>
              </w:rPr>
              <w:t xml:space="preserve">3 статті 25 Закону. Грошове забезпечення (покриття) гарантії повинно 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w:t>
            </w:r>
            <w:r>
              <w:rPr>
                <w:color w:val="auto"/>
                <w:highlight w:val="none"/>
              </w:rPr>
              <w:t xml:space="preserve">а містити реквізити гарантії, забезпеченої грошовим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rFonts w:eastAsia="Tahoma"/>
                <w:color w:val="auto"/>
                <w:highlight w:val="none"/>
              </w:rPr>
            </w:pPr>
            <w:r>
              <w:rPr>
                <w:rFonts w:eastAsia="Tahoma"/>
                <w:color w:val="auto"/>
                <w:highlight w:val="none"/>
                <w:lang w:eastAsia="zh-CN" w:bidi="hi-IN"/>
              </w:rPr>
              <w:t xml:space="preserve">Разом з банківською гарантією необхідно надати ко</w:t>
            </w:r>
            <w:r>
              <w:rPr>
                <w:rFonts w:eastAsia="Tahoma"/>
                <w:color w:val="auto"/>
                <w:highlight w:val="none"/>
                <w:lang w:eastAsia="zh-CN" w:bidi="hi-IN"/>
              </w:rPr>
              <w:t xml:space="preserve">пію документу, що підтверджує повноваження особи, яка підписала банківську гарантію. Повноваження особи, яка підписує банківську гарантію, повинні бути підтверджені відповідним документом з накладенням кваліфікованого електронного підпису особи, що видала </w:t>
            </w:r>
            <w:r>
              <w:rPr>
                <w:rFonts w:eastAsia="Tahoma"/>
                <w:color w:val="auto"/>
                <w:highlight w:val="none"/>
                <w:lang w:eastAsia="zh-CN" w:bidi="hi-IN"/>
              </w:rPr>
              <w:t xml:space="preserve">такии</w:t>
            </w:r>
            <w:r>
              <w:rPr>
                <w:rFonts w:eastAsia="Tahoma"/>
                <w:color w:val="auto"/>
                <w:highlight w:val="none"/>
                <w:lang w:eastAsia="zh-CN" w:bidi="hi-IN"/>
              </w:rPr>
              <w:t xml:space="preserve">̆ документ (у випадку, якщо підписантом не є голова правління). Файл електронної гарантії подається у складі тендерної пропозиції у форматі, придатному</w:t>
            </w:r>
            <w:bookmarkStart w:id="2" w:name="_3znysh7"/>
            <w:r>
              <w:rPr>
                <w:color w:val="auto"/>
                <w:highlight w:val="none"/>
              </w:rPr>
            </w:r>
            <w:bookmarkEnd w:id="2"/>
            <w:r>
              <w:rPr>
                <w:rFonts w:eastAsia="Tahoma"/>
                <w:color w:val="auto"/>
                <w:highlight w:val="none"/>
                <w:lang w:eastAsia="zh-CN" w:bidi="hi-IN"/>
              </w:rPr>
              <w:t xml:space="preserve"> для перевірки накладення КЕП уповноваженої службової (посадової) особи банку-гаранта на такий документ.</w:t>
            </w:r>
            <w:r>
              <w:rPr>
                <w:rFonts w:eastAsia="Tahoma"/>
                <w:color w:val="auto"/>
                <w:highlight w:val="none"/>
              </w:rPr>
            </w:r>
            <w:r>
              <w:rPr>
                <w:rFonts w:eastAsia="Tahoma"/>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Банківська гарантія подається учасником у складі тендерної пропозиції процедури закупівлі через електронну систему </w:t>
            </w:r>
            <w:r>
              <w:rPr>
                <w:color w:val="auto"/>
                <w:highlight w:val="none"/>
              </w:rPr>
              <w:t xml:space="preserve">закупівель</w:t>
            </w:r>
            <w:r>
              <w:rPr>
                <w:color w:val="auto"/>
                <w:highlight w:val="none"/>
              </w:rPr>
              <w:t xml:space="preserve">. Подання, отримання електронної банківської гарантії здійсн</w:t>
            </w:r>
            <w:r>
              <w:rPr>
                <w:color w:val="auto"/>
                <w:highlight w:val="none"/>
              </w:rPr>
              <w:t xml:space="preserve">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та кваліфікованої електронної печатки (у разі наявності).</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Усі витрати, пов'язані з наданням забезпечення тендерної пропозиції, здійснюються за рахунок коштів учасника.</w:t>
            </w:r>
            <w:r>
              <w:rPr>
                <w:color w:val="auto"/>
                <w:highlight w:val="none"/>
              </w:rPr>
            </w:r>
            <w:r>
              <w:rPr>
                <w:color w:val="auto"/>
                <w:highlight w:val="none"/>
              </w:rPr>
            </w:r>
          </w:p>
          <w:p>
            <w:pPr>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Реквізити </w:t>
            </w:r>
            <w:r>
              <w:rPr>
                <w:color w:val="auto"/>
                <w:highlight w:val="none"/>
              </w:rPr>
              <w:t xml:space="preserve">бенефіціара</w:t>
            </w:r>
            <w:r>
              <w:rPr>
                <w:color w:val="auto"/>
                <w:highlight w:val="none"/>
              </w:rPr>
              <w:t xml:space="preserve"> (</w:t>
            </w:r>
            <w:r>
              <w:rPr>
                <w:color w:val="auto"/>
                <w:highlight w:val="none"/>
              </w:rPr>
              <w:t xml:space="preserve">Замовника</w:t>
            </w:r>
            <w:r>
              <w:rPr>
                <w:color w:val="auto"/>
                <w:highlight w:val="none"/>
              </w:rPr>
              <w:t xml:space="preserve">):</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Назва: Департамент муніципальної безпеки виконавчого органу Київської міської ради (Київської міської державної адміністрації) </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Місцезнаходження: м. Київ, вул. Вишгородська, 21.</w:t>
            </w:r>
            <w:r>
              <w:rPr>
                <w:color w:val="auto"/>
                <w:highlight w:val="none"/>
              </w:rPr>
            </w:r>
            <w:r>
              <w:rPr>
                <w:color w:val="auto"/>
                <w:highlight w:val="none"/>
              </w:rPr>
            </w:r>
          </w:p>
          <w:p>
            <w:pPr>
              <w:widowControl w:val="true"/>
              <w:pBdr/>
              <w:tabs>
                <w:tab w:val="left" w:leader="none" w:pos="689"/>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b w:val="0"/>
                <w:color w:val="auto"/>
                <w:highlight w:val="none"/>
                <w:lang w:eastAsia="uk-UA"/>
              </w:rPr>
              <w:t xml:space="preserve">ЄДРПОУ: 42698051</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Умови повернення чи неповернення забезпечення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line="256" w:lineRule="auto"/>
              <w:ind/>
              <w:jc w:val="both"/>
              <w:rPr>
                <w:color w:val="auto"/>
                <w:highlight w:val="none"/>
              </w:rPr>
            </w:pPr>
            <w:r>
              <w:rPr>
                <w:color w:val="auto"/>
                <w:highlight w:val="none"/>
              </w:rPr>
              <w:t xml:space="preserve">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закінчення строку дії тендерної пропозиції та забезпечення тендерної пропозиції, зазначеного в тендерній документації;</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укладення договору про закупівлю з учасником, який став переможцем процедури закупівлі;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відкликання тендерної пропозиції до закінчення строку її подання;</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закінчення тендеру закупівлі в разі </w:t>
            </w:r>
            <w:r>
              <w:rPr>
                <w:color w:val="auto"/>
                <w:highlight w:val="none"/>
              </w:rPr>
              <w:t xml:space="preserve">неукладення</w:t>
            </w:r>
            <w:r>
              <w:rPr>
                <w:color w:val="auto"/>
                <w:highlight w:val="none"/>
              </w:rPr>
              <w:t xml:space="preserve"> договору про закупівлю з жодним з учасників, які подали тендерні пропозиції.</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Забезпечення тендерної пропозиції не повертається замовником у разі: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w:t>
            </w:r>
            <w:r>
              <w:rPr>
                <w:color w:val="auto"/>
                <w:highlight w:val="none"/>
              </w:rPr>
              <w:t xml:space="preserve">непідписання</w:t>
            </w:r>
            <w:r>
              <w:rPr>
                <w:color w:val="auto"/>
                <w:highlight w:val="none"/>
              </w:rPr>
              <w:t xml:space="preserve"> договору про закупівлю учасником, який став переможцем тендеру;</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не надав у спосіб, зазначений в тендерній документації, документи, що підтверджують відсутність підстав, установлених пунктом 47 особливостей затверджених Постановою КМУ від 12 жовтня 2022 р. № 1178 (ОСОБЛИВОСТІ здійснення публічних </w:t>
            </w:r>
            <w:r>
              <w:rPr>
                <w:color w:val="auto"/>
                <w:highlight w:val="none"/>
              </w:rPr>
              <w:t xml:space="preserve">закупівель</w:t>
            </w:r>
            <w:r>
              <w:rPr>
                <w:color w:val="auto"/>
                <w:highlight w: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auto"/>
                <w:highlight w:val="none"/>
              </w:rPr>
            </w:r>
            <w:r>
              <w:rPr>
                <w:color w:val="auto"/>
                <w:highlight w:val="none"/>
              </w:rPr>
            </w:r>
          </w:p>
          <w:p>
            <w:pPr>
              <w:pBdr/>
              <w:spacing w:line="256" w:lineRule="auto"/>
              <w:ind/>
              <w:jc w:val="both"/>
              <w:rPr>
                <w:color w:val="auto"/>
                <w:highlight w:val="none"/>
              </w:rPr>
            </w:pPr>
            <w:r>
              <w:rPr>
                <w:color w:val="auto"/>
                <w:highlight w:val="none"/>
              </w:rPr>
              <w:t xml:space="preserve">Кошти, що надійшли як забезпечення тендерної пропозиції (</w:t>
            </w:r>
            <w:r>
              <w:rPr>
                <w:color w:val="auto"/>
                <w:highlight w:val="none"/>
              </w:rPr>
              <w:t xml:space="preserve">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 </w:t>
            </w:r>
            <w:r>
              <w:rPr>
                <w:color w:val="auto"/>
                <w:highlight w:val="none"/>
              </w:rPr>
              <w:t xml:space="preserve">про що у складі тендерної пропозиції надається письмова згода.</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Строк, протягом якого тендерні пропозиції є дійсними</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Тендерні пропозиції залишаються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w:t>
            </w:r>
            <w:r>
              <w:rPr>
                <w:color w:val="auto"/>
                <w:highlight w:val="none"/>
              </w:rPr>
              <w:t xml:space="preserve">пропозицій. Учасник процедури закупівлі має право:</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відхилити таку вимогу, не втрачаючи при цьому наданого ним забезпечення тендерної пропозиції;</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погодитися з вимогою та продовжити строк дії поданої ним тендерної пропозиції і наданого забезпечення тендерної пропозиції.</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Кваліфікаційні критерії до учасників та вимоги, згідно  з пунктом 28  та пунктом 47  Особливостей*</w:t>
            </w:r>
            <w:r>
              <w:rPr>
                <w:b/>
                <w:color w:val="auto"/>
                <w:highlight w:val="none"/>
              </w:rPr>
            </w:r>
            <w:r>
              <w:rPr>
                <w:b/>
                <w:color w:val="auto"/>
                <w:highlight w:val="none"/>
              </w:rPr>
            </w:r>
          </w:p>
        </w:tc>
        <w:tc>
          <w:tcPr>
            <w:shd w:val="clear" w:color="auto" w:fill="auto"/>
            <w:tcBorders/>
            <w:tcW w:w="5817" w:type="dxa"/>
            <w:textDirection w:val="lrTb"/>
            <w:noWrap w:val="false"/>
          </w:tcPr>
          <w:p>
            <w:pPr>
              <w:pBdr/>
              <w:shd w:val="clear" w:color="auto" w:fill="ffffff"/>
              <w:tabs>
                <w:tab w:val="left" w:leader="none" w:pos="299"/>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left="-17"/>
              <w:jc w:val="both"/>
              <w:rPr>
                <w:color w:val="auto"/>
                <w:highlight w:val="none"/>
              </w:rPr>
            </w:pPr>
            <w:r>
              <w:rPr>
                <w:color w:val="auto"/>
                <w:highlight w:val="none"/>
              </w:rPr>
              <w:t xml:space="preserve">У тендерній документації обов’язково зазначаються:</w:t>
            </w:r>
            <w:r>
              <w:rPr>
                <w:color w:val="auto"/>
                <w:highlight w:val="none"/>
              </w:rPr>
              <w:t xml:space="preserve"> </w:t>
            </w:r>
            <w:r>
              <w:rPr>
                <w:color w:val="auto"/>
                <w:highlight w:val="none"/>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зв’язку із вищезазначеним, учасник у складі тендерної пропозиції повинен надати документи для підтвердження відповідності кваліфікаційним критеріям, а саме: </w:t>
            </w:r>
            <w:r>
              <w:rPr>
                <w:color w:val="auto"/>
                <w:highlight w:val="none"/>
              </w:rPr>
            </w:r>
            <w:r>
              <w:rPr>
                <w:color w:val="auto"/>
                <w:highlight w:val="none"/>
              </w:rPr>
            </w:r>
          </w:p>
          <w:p>
            <w:pPr>
              <w:widowControl w:val="false"/>
              <w:pBdr/>
              <w:spacing/>
              <w:ind/>
              <w:jc w:val="both"/>
              <w:rPr>
                <w:b/>
                <w:color w:val="auto"/>
                <w:highlight w:val="none"/>
              </w:rPr>
            </w:pPr>
            <w:r>
              <w:rPr>
                <w:b/>
                <w:color w:val="auto"/>
                <w:highlight w:val="none"/>
              </w:rPr>
              <w:t xml:space="preserve">5.1. Наявність в учасника процедури закупівлі обладнання, матеріально-технічної бази та технологій. На підтвердження відповідності цьому кваліфікаційному критерію, учасник у складі тендерної пропозиції повинен надати: </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5.1.1. Довідку, яка містить інформацію про наявність в учасника обладнання, матеріально-технічної бази та технологій, необхідних для виконання робіт, що є предметом закупівлі. </w:t>
            </w:r>
            <w:r>
              <w:rPr>
                <w:color w:val="auto"/>
                <w:highlight w:val="none"/>
              </w:rPr>
            </w:r>
            <w:r>
              <w:rPr>
                <w:color w:val="auto"/>
                <w:highlight w:val="none"/>
              </w:rPr>
            </w:r>
          </w:p>
          <w:p>
            <w:pPr>
              <w:pBdr/>
              <w:spacing/>
              <w:ind/>
              <w:jc w:val="both"/>
              <w:rPr>
                <w:color w:val="auto"/>
                <w:highlight w:val="none"/>
              </w:rPr>
            </w:pPr>
            <w:r>
              <w:rPr>
                <w:color w:val="auto"/>
                <w:highlight w:val="none"/>
              </w:rPr>
              <w:t xml:space="preserve">5.1.2. На підтвердження наявності в учасника обладнання, зазначеного в довідці згідно </w:t>
            </w:r>
            <w:r>
              <w:rPr>
                <w:color w:val="auto"/>
                <w:highlight w:val="none"/>
              </w:rPr>
              <w:t xml:space="preserve">пп</w:t>
            </w:r>
            <w:r>
              <w:rPr>
                <w:color w:val="auto"/>
                <w:highlight w:val="none"/>
              </w:rPr>
              <w:t xml:space="preserve">. 5.1.1. цієї тендерної документації, учасник у складі пропозиції надає видаткову накладну з інформацією про придбання Учасником такого обладнання або </w:t>
            </w:r>
            <w:r>
              <w:rPr>
                <w:color w:val="auto"/>
                <w:highlight w:val="none"/>
              </w:rPr>
              <w:t xml:space="preserve">оборотно</w:t>
            </w:r>
            <w:r>
              <w:rPr>
                <w:color w:val="auto"/>
                <w:highlight w:val="none"/>
              </w:rPr>
              <w:t xml:space="preserve">-сальдову відомість або інвентаризаційний опис або акт контрольної перевірки інвентаризації цінностей або договір купівлі-продажу* або договір оренди*/суборенди*/лізингу* або договір про співпрацю* або договір користування* чи надання послуг*.</w:t>
            </w:r>
            <w:r>
              <w:rPr>
                <w:color w:val="auto"/>
                <w:highlight w:val="none"/>
              </w:rPr>
            </w:r>
            <w:r>
              <w:rPr>
                <w:color w:val="auto"/>
                <w:highlight w:val="none"/>
              </w:rPr>
            </w:r>
          </w:p>
          <w:p>
            <w:pPr>
              <w:widowControl w:val="false"/>
              <w:pBdr/>
              <w:spacing/>
              <w:ind/>
              <w:jc w:val="both"/>
              <w:rPr>
                <w:b/>
                <w:color w:val="auto"/>
                <w:highlight w:val="none"/>
              </w:rPr>
            </w:pPr>
            <w:r>
              <w:rPr>
                <w:color w:val="auto"/>
                <w:highlight w:val="none"/>
              </w:rPr>
              <w:t xml:space="preserve">5.2. </w:t>
            </w:r>
            <w:r>
              <w:rPr>
                <w:b/>
                <w:color w:val="auto"/>
                <w:highlight w:val="none"/>
              </w:rPr>
              <w:t xml:space="preserve">Наявність в учасника процедури закупівлі працівників відповідної кваліфікації, які мають необхідні знання та досвід. На підтвердження відповідності цьому кваліфікаційному критерію, учасник у складі тендерної пропозиції повинен надати:</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5.2.1. Довідку, складену Учасником у довільній формі, про наявність працівників відповідної кваліфікації, які мають необхідні знання та досвід для виконання робіт, що є предметом закупівлі із зазначенням прізвища,</w:t>
            </w:r>
            <w:r>
              <w:rPr>
                <w:color w:val="auto"/>
                <w:highlight w:val="none"/>
              </w:rPr>
              <w:t xml:space="preserve"> ім’я та по батькові, посади, загального досвіду роботи (у роках), спеціальності або кваліфікації, а також інформації про наявність/відсутність дійсних кваліфікаційних сертифікатів (із зазначенням серії і номера, а також дати видачі такого сертифікату) по </w:t>
            </w:r>
            <w:r>
              <w:rPr>
                <w:color w:val="auto"/>
                <w:highlight w:val="none"/>
              </w:rPr>
              <w:t xml:space="preserve">кожному із працівників.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даній довідці обов’язково повинна міститися інформація про наявність в учасника (у штаті або </w:t>
            </w:r>
            <w:r>
              <w:rPr>
                <w:color w:val="auto"/>
                <w:highlight w:val="none"/>
              </w:rPr>
              <w:t xml:space="preserve">залучених за цивільно-правовими договорами):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архітектора  (архітектурне та об’ємне проектування) – не менше 1 осіб;</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забезпечення механічного опору та стійкості щодо об’єктів будівництва класу наслідків (відповідальності) не нижче </w:t>
            </w:r>
            <w:r>
              <w:rPr>
                <w:color w:val="auto"/>
                <w:highlight w:val="none"/>
              </w:rPr>
              <w:t xml:space="preserve">СС</w:t>
            </w:r>
            <w:r>
              <w:rPr>
                <w:color w:val="auto"/>
                <w:highlight w:val="none"/>
              </w:rPr>
              <w:t xml:space="preserve">3</w:t>
            </w:r>
            <w:r>
              <w:rPr>
                <w:color w:val="auto"/>
                <w:highlight w:val="none"/>
              </w:rPr>
              <w:t xml:space="preserve"> (</w:t>
            </w:r>
            <w:r>
              <w:rPr>
                <w:color w:val="auto"/>
                <w:highlight w:val="none"/>
              </w:rPr>
              <w:t xml:space="preserve">значні</w:t>
            </w:r>
            <w:r>
              <w:rPr>
                <w:color w:val="auto"/>
                <w:highlight w:val="none"/>
              </w:rPr>
              <w:t xml:space="preserve"> наслідки)</w:t>
            </w:r>
            <w:r>
              <w:rPr>
                <w:color w:val="auto"/>
                <w:highlight w:val="none"/>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інженерно-будівельне проектування у частині забезпечення економії енергії щодо об’єктів будівництва класу наслідків (відповідальності) не нижче </w:t>
            </w:r>
            <w:r>
              <w:rPr>
                <w:color w:val="auto"/>
                <w:highlight w:val="none"/>
              </w:rPr>
              <w:t xml:space="preserve">СС3 (значні наслідки);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сертифікат енергетичного аудитора;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дотримання вимог пожежної безпеки) не </w:t>
            </w:r>
            <w:r>
              <w:rPr>
                <w:color w:val="auto"/>
                <w:highlight w:val="none"/>
              </w:rPr>
              <w:t xml:space="preserve">нижче </w:t>
            </w:r>
            <w:r>
              <w:rPr>
                <w:color w:val="auto"/>
                <w:highlight w:val="none"/>
              </w:rPr>
              <w:t xml:space="preserve">СС3 (значні наслідки) </w:t>
            </w:r>
            <w:r>
              <w:rPr>
                <w:color w:val="auto"/>
                <w:highlight w:val="none"/>
              </w:rPr>
              <w:t xml:space="preserve">– не менше 1 особи;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(у частині забезпечення безпеки життя і здоров’я людини, захисту навколишнього природного середовища) не нижче СС3 (значні наслідки) – не менше 1 особи;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інженера-проектувальника (інженерно-будівельне проектування у частині кошторисної документації) – не менше 1 особи;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сертифікованого інженера – геодезиста – не менше 1 особи.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5.2.2. На підтвердження наявності в учасника працівників, інформація про яких міститься у довідці, згідно з пп.5.2.1. цієї тендерної документації, у складі пр</w:t>
            </w:r>
            <w:r>
              <w:rPr>
                <w:color w:val="auto"/>
                <w:highlight w:val="none"/>
              </w:rPr>
              <w:t xml:space="preserve">опозиції Учасника надається наказ про призначення (або наказ про сумісництво/суміщення), або цивільно-правова угода (чинна не менше ніж на строк виконання робіт, що є предметом закупівлі) та надання відповідних сертифікатів на працівників, які передбачено </w:t>
            </w:r>
            <w:r>
              <w:rPr>
                <w:color w:val="auto"/>
                <w:highlight w:val="none"/>
              </w:rPr>
              <w:t xml:space="preserve">пп</w:t>
            </w:r>
            <w:r>
              <w:rPr>
                <w:color w:val="auto"/>
                <w:highlight w:val="none"/>
              </w:rPr>
              <w:t xml:space="preserve">. 5.2.1. цієї тендерної документації.</w:t>
            </w:r>
            <w:r>
              <w:rPr>
                <w:color w:val="auto"/>
                <w:highlight w:val="none"/>
              </w:rPr>
            </w:r>
            <w:r>
              <w:rPr>
                <w:color w:val="auto"/>
                <w:highlight w:val="none"/>
              </w:rPr>
            </w:r>
          </w:p>
          <w:p>
            <w:pPr>
              <w:widowControl w:val="false"/>
              <w:pBdr/>
              <w:spacing/>
              <w:ind/>
              <w:jc w:val="both"/>
              <w:rPr>
                <w:b/>
                <w:color w:val="auto"/>
                <w:highlight w:val="none"/>
              </w:rPr>
            </w:pPr>
            <w:r>
              <w:rPr>
                <w:b/>
                <w:color w:val="auto"/>
                <w:highlight w:val="none"/>
              </w:rPr>
              <w:t xml:space="preserve">5.3. Наявність документально підтвердженого досвіду виконання аналогічного (аналогічних) за предметом закупівлі договору (договорів):</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5.3.1. </w:t>
            </w:r>
            <w:r>
              <w:rPr>
                <w:color w:val="auto"/>
                <w:highlight w:val="none"/>
              </w:rPr>
              <w:t xml:space="preserve">Інформаційну довідку</w:t>
            </w:r>
            <w:r>
              <w:rPr>
                <w:color w:val="auto"/>
                <w:highlight w:val="none"/>
              </w:rPr>
              <w:t xml:space="preserve">, яку</w:t>
            </w:r>
            <w:r>
              <w:rPr>
                <w:color w:val="auto"/>
                <w:highlight w:val="none"/>
              </w:rPr>
              <w:t xml:space="preserve"> </w:t>
            </w:r>
            <w:r>
              <w:rPr>
                <w:color w:val="auto"/>
                <w:highlight w:val="none"/>
              </w:rPr>
              <w:t xml:space="preserve">складену Учасником в довільній формі</w:t>
            </w:r>
            <w:r>
              <w:rPr>
                <w:color w:val="auto"/>
                <w:highlight w:val="none"/>
              </w:rPr>
              <w:t xml:space="preserve"> про виконання  аналогічного (аналогічних) за предметом закупівлі договору (договорів) за </w:t>
            </w:r>
            <w:r>
              <w:rPr>
                <w:color w:val="auto"/>
                <w:highlight w:val="none"/>
              </w:rPr>
              <w:t xml:space="preserve">період 2022-2023 роки</w:t>
            </w:r>
            <w:r>
              <w:rPr>
                <w:color w:val="auto"/>
                <w:highlight w:val="none"/>
              </w:rPr>
              <w:t xml:space="preserve"> із зазначенням найменування контрагента по договору, його коду ЄДРПОУ, номер та дату укладення даного договору, предмет договору та суму виконання робіт (наданих послуг) за даним договором.</w:t>
            </w:r>
            <w:r>
              <w:rPr>
                <w:color w:val="auto"/>
                <w:highlight w:val="none"/>
              </w:rPr>
              <w:t xml:space="preserve"> Така довідка </w:t>
            </w:r>
            <w:r>
              <w:rPr>
                <w:color w:val="auto"/>
                <w:highlight w:val="none"/>
              </w:rPr>
              <w:t xml:space="preserve">повинна містити інформацію про не менше 2 (двох) аналогічних</w:t>
            </w:r>
            <w:r>
              <w:rPr>
                <w:color w:val="auto"/>
                <w:highlight w:val="none"/>
              </w:rPr>
              <w:t xml:space="preserve"> договорів.</w:t>
            </w:r>
            <w:r>
              <w:rPr>
                <w:color w:val="auto"/>
                <w:highlight w:val="none"/>
              </w:rPr>
            </w:r>
            <w:r>
              <w:rPr>
                <w:color w:val="auto"/>
                <w:highlight w:val="none"/>
              </w:rPr>
            </w:r>
          </w:p>
          <w:p>
            <w:pPr>
              <w:pBdr/>
              <w:spacing/>
              <w:ind/>
              <w:jc w:val="both"/>
              <w:rPr>
                <w:color w:val="auto"/>
                <w:highlight w:val="none"/>
              </w:rPr>
            </w:pPr>
            <w:r>
              <w:rPr>
                <w:color w:val="auto"/>
                <w:highlight w:val="none"/>
              </w:rPr>
              <w:t xml:space="preserve">5.3.2. На підтвердження інформації, зазначеної в довідці згідно п.5.3.1. цієї тендерної документації, надати: копію (-ї) договору (-</w:t>
            </w:r>
            <w:r>
              <w:rPr>
                <w:color w:val="auto"/>
                <w:highlight w:val="none"/>
              </w:rPr>
              <w:t xml:space="preserve">ів</w:t>
            </w:r>
            <w:r>
              <w:rPr>
                <w:color w:val="auto"/>
                <w:highlight w:val="none"/>
              </w:rPr>
              <w:t xml:space="preserve">) із додатками (за наявності у договорі додатків), а також копії документів, які підтверджують факт повного </w:t>
            </w:r>
            <w:r>
              <w:rPr>
                <w:color w:val="auto"/>
                <w:highlight w:val="none"/>
              </w:rPr>
              <w:t xml:space="preserve">виконання договору (договорів) (акти приймання-передачі наданих послуг (виконаних робіт). </w:t>
            </w:r>
            <w:r>
              <w:rPr>
                <w:color w:val="auto"/>
                <w:highlight w:val="none"/>
              </w:rPr>
            </w:r>
            <w:r>
              <w:rPr>
                <w:color w:val="auto"/>
                <w:highlight w:val="none"/>
              </w:rPr>
            </w:r>
          </w:p>
          <w:p>
            <w:pPr>
              <w:pBdr/>
              <w:spacing/>
              <w:ind/>
              <w:jc w:val="both"/>
              <w:rPr>
                <w:color w:val="auto"/>
                <w:highlight w:val="none"/>
              </w:rPr>
            </w:pPr>
            <w:r>
              <w:rPr>
                <w:color w:val="auto"/>
                <w:highlight w:val="none"/>
              </w:rPr>
              <w:t xml:space="preserve">Предметом аналогічного (аналогічних) договору (договорів) повинні бути роботи (послуги) з розробки проектно-кошторисної документації.</w:t>
            </w:r>
            <w:r>
              <w:rPr>
                <w:color w:val="auto"/>
                <w:highlight w:val="none"/>
              </w:rPr>
            </w:r>
            <w:r>
              <w:rPr>
                <w:color w:val="auto"/>
                <w:highlight w:val="none"/>
              </w:rPr>
            </w:r>
          </w:p>
          <w:p>
            <w:pPr>
              <w:pBdr/>
              <w:spacing/>
              <w:ind/>
              <w:jc w:val="both"/>
              <w:rPr>
                <w:color w:val="auto"/>
                <w:highlight w:val="none"/>
              </w:rPr>
            </w:pPr>
            <w:r>
              <w:rPr>
                <w:i/>
                <w:color w:val="auto"/>
                <w:highlight w:val="none"/>
              </w:rPr>
              <w:t xml:space="preserve">Аналогічним договором в розумінні цієї тендерної документації є договір на </w:t>
            </w:r>
            <w:r>
              <w:rPr>
                <w:b/>
                <w:bCs/>
                <w:i/>
                <w:color w:val="auto"/>
                <w:highlight w:val="none"/>
              </w:rPr>
              <w:t xml:space="preserve">виготовлення проектно-кошторисної документації на нове будівництво (реконструкцію /капітальний ремонт).</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Для об’єдн</w:t>
            </w:r>
            <w:r>
              <w:rPr>
                <w:color w:val="auto"/>
                <w:highlight w:val="none"/>
              </w:rPr>
              <w:t xml:space="preserve">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3" w:name="3znysh7"/>
            <w:r>
              <w:rPr>
                <w:color w:val="auto"/>
                <w:highlight w:val="none"/>
              </w:rPr>
            </w:r>
            <w:bookmarkEnd w:id="3"/>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1) замовник має незаперечні докази того, що учасник процедури закупівлі пропонує, дає або погоджується дати прямо чи опосеред</w:t>
            </w:r>
            <w:r>
              <w:rPr>
                <w:color w:val="auto"/>
                <w:highlight w:val="none"/>
              </w:rPr>
              <w:t xml:space="preserve">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 w:name="2et92p0"/>
            <w:r>
              <w:rPr>
                <w:color w:val="auto"/>
                <w:highlight w:val="none"/>
              </w:rPr>
            </w:r>
            <w:bookmarkEnd w:id="4"/>
            <w:r>
              <w:rPr>
                <w:color w:val="auto"/>
                <w:highlight w:val="none"/>
              </w:rPr>
              <w:t xml:space="preserve">2) відомості про юридичну особу, яка є учасником процедури закупівлі, </w:t>
            </w:r>
            <w:r>
              <w:rPr>
                <w:color w:val="auto"/>
                <w:highlight w:val="none"/>
              </w:rPr>
              <w:t xml:space="preserve">внесено</w:t>
            </w:r>
            <w:r>
              <w:rPr>
                <w:color w:val="auto"/>
                <w:highlight w:val="none"/>
              </w:rPr>
              <w:t xml:space="preserve"> до Єдиного державного реєстру осіб, які вчинили корупційні або пов’язані з корупцією правопорушення;</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5" w:name="tyjcwt"/>
            <w:r>
              <w:rPr>
                <w:color w:val="auto"/>
                <w:highlight w:val="none"/>
              </w:rPr>
            </w:r>
            <w:bookmarkEnd w:id="5"/>
            <w:r>
              <w:rPr>
                <w:color w:val="auto"/>
                <w:highlight w:val="none"/>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6" w:name="3dy6vkm"/>
            <w:r>
              <w:rPr>
                <w:color w:val="auto"/>
                <w:highlight w:val="none"/>
              </w:rPr>
            </w:r>
            <w:bookmarkEnd w:id="6"/>
            <w:r>
              <w:rPr>
                <w:color w:val="auto"/>
                <w:highlight w:val="non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tooltip="https://zakon.rada.gov.ua/laws/show/2210-14#n52" w:anchor="n52" w:history="1">
              <w:r>
                <w:rPr>
                  <w:color w:val="auto"/>
                  <w:highlight w:val="none"/>
                  <w:u w:val="single"/>
                </w:rPr>
                <w:t xml:space="preserve">пунктом 4</w:t>
              </w:r>
            </w:hyperlink>
            <w:r>
              <w:rPr>
                <w:color w:val="auto"/>
                <w:highlight w:val="none"/>
              </w:rPr>
              <w:t xml:space="preserve"> частини другої статті 6, </w:t>
            </w:r>
            <w:hyperlink r:id="rId12" w:tooltip="https://zakon.rada.gov.ua/laws/show/2210-14#n456" w:anchor="n456" w:history="1">
              <w:r>
                <w:rPr>
                  <w:color w:val="auto"/>
                  <w:highlight w:val="none"/>
                  <w:u w:val="single"/>
                </w:rPr>
                <w:t xml:space="preserve">пунктом 1</w:t>
              </w:r>
            </w:hyperlink>
            <w:r>
              <w:rPr>
                <w:color w:val="auto"/>
                <w:highlight w:val="none"/>
              </w:rPr>
              <w:t xml:space="preserve"> статті 50 Закону України “Про захист економічної конкуренції”, у вигляді вчинення </w:t>
            </w:r>
            <w:r>
              <w:rPr>
                <w:color w:val="auto"/>
                <w:highlight w:val="none"/>
              </w:rPr>
              <w:t xml:space="preserve">антиконкурентних</w:t>
            </w:r>
            <w:r>
              <w:rPr>
                <w:color w:val="auto"/>
                <w:highlight w:val="none"/>
              </w:rPr>
              <w:t xml:space="preserve"> узгоджених дій, що стосуються спотворення результатів тендерів;</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7" w:name="1t3h5sf"/>
            <w:r>
              <w:rPr>
                <w:color w:val="auto"/>
                <w:highlight w:val="none"/>
              </w:rPr>
            </w:r>
            <w:bookmarkEnd w:id="7"/>
            <w:r>
              <w:rPr>
                <w:color w:val="auto"/>
                <w:highlight w:val="none"/>
              </w:rPr>
              <w:t xml:space="preserve">5) фізи</w:t>
            </w:r>
            <w:r>
              <w:rPr>
                <w:color w:val="auto"/>
                <w:highlight w:val="none"/>
              </w:rPr>
              <w:t xml:space="preserve">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8" w:name="4d34og8"/>
            <w:r>
              <w:rPr>
                <w:color w:val="auto"/>
                <w:highlight w:val="none"/>
              </w:rPr>
            </w:r>
            <w:bookmarkEnd w:id="8"/>
            <w:r>
              <w:rPr>
                <w:color w:val="auto"/>
                <w:highlight w:val="none"/>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Pr>
                <w:color w:val="auto"/>
                <w:highlight w:val="none"/>
              </w:rPr>
              <w:t xml:space="preserve">судимість з якого не знято або не погашено в установленому законом порядку;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9" w:name="2s8eyo1"/>
            <w:r>
              <w:rPr>
                <w:color w:val="auto"/>
                <w:highlight w:val="none"/>
              </w:rPr>
            </w:r>
            <w:bookmarkEnd w:id="9"/>
            <w:r>
              <w:rPr>
                <w:color w:val="auto"/>
                <w:highlight w:val="none"/>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0" w:name="17dp8vu"/>
            <w:r>
              <w:rPr>
                <w:color w:val="auto"/>
                <w:highlight w:val="none"/>
              </w:rPr>
            </w:r>
            <w:bookmarkEnd w:id="10"/>
            <w:r>
              <w:rPr>
                <w:color w:val="auto"/>
                <w:highlight w:val="none"/>
              </w:rPr>
              <w:t xml:space="preserve">8) учасник процедури закупівлі визнаний в установленому законом порядку банкрутом та стосовно нього відкрита ліквідаційна процедура;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1" w:name="3rdcrjn"/>
            <w:r>
              <w:rPr>
                <w:color w:val="auto"/>
                <w:highlight w:val="none"/>
              </w:rPr>
            </w:r>
            <w:bookmarkEnd w:id="11"/>
            <w:r>
              <w:rPr>
                <w:color w:val="auto"/>
                <w:highlight w:val="none"/>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tooltip="https://zakon.rada.gov.ua/laws/show/755-15#n174" w:anchor="n174" w:history="1">
              <w:r>
                <w:rPr>
                  <w:color w:val="auto"/>
                  <w:highlight w:val="none"/>
                  <w:u w:val="single"/>
                </w:rPr>
                <w:t xml:space="preserve">пунктом 9</w:t>
              </w:r>
            </w:hyperlink>
            <w:r>
              <w:rPr>
                <w:color w:val="auto"/>
                <w:highlight w:val="none"/>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2" w:name="26in1rg"/>
            <w:r>
              <w:rPr>
                <w:color w:val="auto"/>
                <w:highlight w:val="none"/>
              </w:rPr>
            </w:r>
            <w:bookmarkEnd w:id="12"/>
            <w:r>
              <w:rPr>
                <w:color w:val="auto"/>
                <w:highlight w:val="none"/>
              </w:rPr>
              <w:t xml:space="preserve">10) юридична особа, яка є учасником проце</w:t>
            </w:r>
            <w:r>
              <w:rPr>
                <w:color w:val="auto"/>
                <w:highlight w:val="none"/>
              </w:rPr>
              <w:t xml:space="preserve">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3" w:name="lnxbz9"/>
            <w:r>
              <w:rPr>
                <w:color w:val="auto"/>
                <w:highlight w:val="none"/>
              </w:rPr>
            </w:r>
            <w:bookmarkEnd w:id="13"/>
            <w:r>
              <w:rPr>
                <w:color w:val="auto"/>
                <w:highlight w:val="none"/>
              </w:rPr>
              <w:t xml:space="preserve">11) </w:t>
            </w:r>
            <w:r>
              <w:rPr>
                <w:color w:val="auto"/>
                <w:highlight w:val="none"/>
              </w:rPr>
              <w:t xml:space="preserve">учасник процедури закупівлі або кінцевий </w:t>
            </w:r>
            <w:r>
              <w:rPr>
                <w:color w:val="auto"/>
                <w:highlight w:val="none"/>
              </w:rPr>
              <w:t xml:space="preserve">бенефіціарний</w:t>
            </w:r>
            <w:r>
              <w:rPr>
                <w:color w:val="auto"/>
                <w:highlight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color w:val="auto"/>
                <w:highlight w:val="none"/>
              </w:rPr>
              <w:t xml:space="preserve">закупівель</w:t>
            </w:r>
            <w:r>
              <w:rPr>
                <w:color w:val="auto"/>
                <w:highlight w:val="none"/>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14" w:name="35nkun2"/>
            <w:r>
              <w:rPr>
                <w:color w:val="auto"/>
                <w:highlight w:val="none"/>
              </w:rPr>
            </w:r>
            <w:bookmarkEnd w:id="14"/>
            <w:r>
              <w:rPr>
                <w:color w:val="auto"/>
                <w:highlight w:val="none"/>
              </w:rPr>
              <w:t xml:space="preserve">12</w:t>
            </w:r>
            <w:r>
              <w:rPr>
                <w:color w:val="auto"/>
                <w:highlight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Замовник може прийняти рішення про відмову учаснику процедури закупівлі в участі у відкритих торгах та відхилити те</w:t>
            </w:r>
            <w:r>
              <w:rPr>
                <w:color w:val="auto"/>
                <w:highlight w:val="none"/>
              </w:rPr>
              <w:t xml:space="preserve">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w:t>
            </w:r>
            <w:r>
              <w:rPr>
                <w:color w:val="auto"/>
                <w:highlight w:val="none"/>
              </w:rPr>
              <w:t xml:space="preserve">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w:t>
            </w:r>
            <w:r>
              <w:rPr>
                <w:color w:val="auto"/>
                <w:highlight w:val="none"/>
              </w:rPr>
              <w:t xml:space="preserve">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Pr>
                <w:color w:val="auto"/>
                <w:highlight w:val="none"/>
              </w:rPr>
              <w:t xml:space="preserve">збитків. Якщо замовник вважає таке підтвердження достатнім, учаснику процедури закупівлі не може бути відмовлено в участі в процедурі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5.5. Учасник процедури закупівлі підтверджує відсутність підстав, зазначених в пункті 47 Особливостей (</w:t>
            </w:r>
            <w:r>
              <w:rPr>
                <w:color w:val="auto"/>
                <w:highlight w:val="none"/>
              </w:rPr>
              <w:t xml:space="preserve">крім </w:t>
            </w:r>
            <w:hyperlink r:id="rId14" w:tooltip="https://zakon.rada.gov.ua/laws/show/1178-2022-%D0%BF#n616" w:anchor="n616" w:history="1">
              <w:r>
                <w:rPr>
                  <w:color w:val="auto"/>
                  <w:highlight w:val="none"/>
                  <w:u w:val="single"/>
                </w:rPr>
                <w:t xml:space="preserve">підпунктів 1</w:t>
              </w:r>
            </w:hyperlink>
            <w:r>
              <w:rPr>
                <w:color w:val="auto"/>
                <w:highlight w:val="none"/>
              </w:rPr>
              <w:t xml:space="preserve"> і </w:t>
            </w:r>
            <w:hyperlink r:id="rId15" w:tooltip="https://zakon.rada.gov.ua/laws/show/1178-2022-%D0%BF#n622" w:anchor="n622" w:history="1">
              <w:r>
                <w:rPr>
                  <w:color w:val="auto"/>
                  <w:highlight w:val="none"/>
                  <w:u w:val="single"/>
                </w:rPr>
                <w:t xml:space="preserve">7</w:t>
              </w:r>
            </w:hyperlink>
            <w:r>
              <w:rPr>
                <w:color w:val="auto"/>
                <w:highlight w:val="none"/>
              </w:rPr>
              <w:t xml:space="preserve">, </w:t>
            </w:r>
            <w:hyperlink r:id="rId16" w:tooltip="https://zakon.rada.gov.ua/laws/show/1178-2022-%D0%BF#n628" w:anchor="n628" w:history="1">
              <w:r>
                <w:rPr>
                  <w:color w:val="auto"/>
                  <w:highlight w:val="none"/>
                  <w:u w:val="single"/>
                </w:rPr>
                <w:t xml:space="preserve">абзацу чотирнадцятого</w:t>
              </w:r>
            </w:hyperlink>
            <w:r>
              <w:rPr>
                <w:color w:val="auto"/>
                <w:highlight w:val="none"/>
              </w:rPr>
              <w:t xml:space="preserve"> пункту 47</w:t>
            </w:r>
            <w:r>
              <w:rPr>
                <w:color w:val="auto"/>
                <w:highlight w:val="none"/>
              </w:rPr>
              <w:t xml:space="preserve">), шляхом самостійного декларування відсутності таких підстав в електронній системі </w:t>
            </w:r>
            <w:r>
              <w:rPr>
                <w:color w:val="auto"/>
                <w:highlight w:val="none"/>
              </w:rPr>
              <w:t xml:space="preserve">закупівель</w:t>
            </w:r>
            <w:r>
              <w:rPr>
                <w:color w:val="auto"/>
                <w:highlight w:val="none"/>
              </w:rPr>
              <w:t xml:space="preserve"> під час подання тендерної пропозиції.</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не вимагає від учасника процедури закупівлі під час подання тендерної пропозиції в електронній системі </w:t>
            </w:r>
            <w:r>
              <w:rPr>
                <w:color w:val="auto"/>
                <w:highlight w:val="none"/>
              </w:rPr>
              <w:t xml:space="preserve">закупівель</w:t>
            </w:r>
            <w:r>
              <w:rPr>
                <w:color w:val="auto"/>
                <w:highlight w:val="none"/>
              </w:rPr>
              <w:t xml:space="preserve"> будь-яких документів, що підтверджують відсутність підстав, визначених у цьому пункті (крім </w:t>
            </w:r>
            <w:hyperlink r:id="rId17" w:tooltip="https://zakon.rada.gov.ua/laws/show/1178-2022-%D0%BF#n628" w:anchor="n628" w:history="1">
              <w:r>
                <w:rPr>
                  <w:color w:val="auto"/>
                  <w:highlight w:val="none"/>
                  <w:u w:val="single"/>
                </w:rPr>
                <w:t xml:space="preserve">абзацу чотирнадцятого</w:t>
              </w:r>
            </w:hyperlink>
            <w:r>
              <w:rPr>
                <w:color w:val="auto"/>
                <w:highlight w:val="none"/>
              </w:rPr>
              <w:t xml:space="preserve"> пункту 47), крім самостійного декларування відсутності таких підстав учасником процедури закупівлі відповідно до </w:t>
            </w:r>
            <w:hyperlink r:id="rId18" w:tooltip="https://zakon.rada.gov.ua/laws/show/1178-2022-%D0%BF#n630" w:anchor="n630" w:history="1">
              <w:r>
                <w:rPr>
                  <w:color w:val="auto"/>
                  <w:highlight w:val="none"/>
                  <w:u w:val="single"/>
                </w:rPr>
                <w:t xml:space="preserve">абзацу шістнадцятого</w:t>
              </w:r>
            </w:hyperlink>
            <w:r>
              <w:rPr>
                <w:color w:val="auto"/>
                <w:highlight w:val="none"/>
              </w:rPr>
              <w:t xml:space="preserve"> пункту 47 Особливостей.</w:t>
            </w:r>
            <w:bookmarkStart w:id="15" w:name="1ksv4uv"/>
            <w:r>
              <w:rPr>
                <w:color w:val="auto"/>
                <w:highlight w:val="none"/>
              </w:rPr>
            </w:r>
            <w:bookmarkEnd w:id="15"/>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Pr>
                <w:color w:val="auto"/>
                <w:highlight w:val="none"/>
              </w:rPr>
              <w:t xml:space="preserve">закупівель</w:t>
            </w:r>
            <w:r>
              <w:rPr>
                <w:color w:val="auto"/>
                <w:highlight w:val="none"/>
              </w:rPr>
              <w:t xml:space="preserve"> відсутність в учасника процедури закупівлі підстав, визначених </w:t>
            </w:r>
            <w:hyperlink r:id="rId19" w:tooltip="https://zakon.rada.gov.ua/laws/show/1178-2022-%D0%BF#n616" w:anchor="n616" w:history="1">
              <w:r>
                <w:rPr>
                  <w:color w:val="auto"/>
                  <w:highlight w:val="none"/>
                  <w:u w:val="single"/>
                </w:rPr>
                <w:t xml:space="preserve">підпунктами 1</w:t>
              </w:r>
            </w:hyperlink>
            <w:r>
              <w:rPr>
                <w:color w:val="auto"/>
                <w:highlight w:val="none"/>
              </w:rPr>
              <w:t xml:space="preserve"> і </w:t>
            </w:r>
            <w:hyperlink r:id="rId20" w:tooltip="https://zakon.rada.gov.ua/laws/show/1178-2022-%D0%BF#n622" w:anchor="n622" w:history="1">
              <w:r>
                <w:rPr>
                  <w:color w:val="auto"/>
                  <w:highlight w:val="none"/>
                  <w:u w:val="single"/>
                </w:rPr>
                <w:t xml:space="preserve">7</w:t>
              </w:r>
            </w:hyperlink>
            <w:r>
              <w:rPr>
                <w:color w:val="auto"/>
                <w:highlight w:val="none"/>
              </w:rPr>
              <w:t xml:space="preserve">  пункту 47 Особливостей.</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r>
            <w:bookmarkStart w:id="16" w:name="_44sinio"/>
            <w:r>
              <w:rPr>
                <w:color w:val="auto"/>
                <w:highlight w:val="none"/>
              </w:rPr>
            </w:r>
            <w:bookmarkEnd w:id="16"/>
            <w:r>
              <w:rPr>
                <w:color w:val="auto"/>
                <w:highlight w:val="none"/>
              </w:rPr>
              <w:t xml:space="preserve">Разом з цим, учасник у складі тендерної пропозиції повинен надати довідку, складену в довільн</w:t>
            </w:r>
            <w:r>
              <w:rPr>
                <w:color w:val="auto"/>
                <w:highlight w:val="none"/>
              </w:rPr>
              <w:t xml:space="preserve">ій формі і завірена підписом уповноваженої особи Учасника, про те, що учасник процедури закупівлі перебуває/не перебуває в обставинах, зазначених у абзаці 14 пункту  47 Особливостей. У разі, якщо учасник перебуває в обставинах, зазначених у абзаці 14 пункт</w:t>
            </w:r>
            <w:r>
              <w:rPr>
                <w:color w:val="auto"/>
                <w:highlight w:val="none"/>
              </w:rPr>
              <w:t xml:space="preserve">у  47 Особливостей, додатково він повинен надати довідку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5.6. </w:t>
            </w:r>
            <w:r>
              <w:rPr>
                <w:color w:val="auto"/>
                <w:highlight w:val="none"/>
              </w:rPr>
              <w:t xml:space="preserve">Переможець процедури закупівлі у строк, що не перевищує чотири дні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повинен надати замовнику шляхом оприлюднення в електронній системі </w:t>
            </w:r>
            <w:r>
              <w:rPr>
                <w:color w:val="auto"/>
                <w:highlight w:val="none"/>
              </w:rPr>
              <w:t xml:space="preserve">закупівель</w:t>
            </w:r>
            <w:r>
              <w:rPr>
                <w:color w:val="auto"/>
                <w:highlight w:val="none"/>
              </w:rPr>
              <w:t xml:space="preserve"> документи, що підтверджують відсутність підстав, зазначених у </w:t>
            </w:r>
            <w:hyperlink r:id="rId21" w:tooltip="https://zakon.rada.gov.ua/laws/show/1178-2022-%D0%BF#n401" w:anchor="n401" w:history="1">
              <w:r>
                <w:rPr>
                  <w:color w:val="auto"/>
                  <w:highlight w:val="none"/>
                  <w:u w:val="single"/>
                </w:rPr>
                <w:t xml:space="preserve">підпунктах 3</w:t>
              </w:r>
            </w:hyperlink>
            <w:r>
              <w:rPr>
                <w:color w:val="auto"/>
                <w:highlight w:val="none"/>
              </w:rPr>
              <w:t xml:space="preserve">, </w:t>
            </w:r>
            <w:hyperlink r:id="rId22" w:tooltip="https://zakon.rada.gov.ua/laws/show/1178-2022-%D0%BF#n403" w:anchor="n403" w:history="1">
              <w:r>
                <w:rPr>
                  <w:color w:val="auto"/>
                  <w:highlight w:val="none"/>
                  <w:u w:val="single"/>
                </w:rPr>
                <w:t xml:space="preserve">5</w:t>
              </w:r>
            </w:hyperlink>
            <w:r>
              <w:rPr>
                <w:color w:val="auto"/>
                <w:highlight w:val="none"/>
              </w:rPr>
              <w:t xml:space="preserve">, </w:t>
            </w:r>
            <w:hyperlink r:id="rId23" w:tooltip="https://zakon.rada.gov.ua/laws/show/1178-2022-%D0%BF#n404" w:anchor="n404" w:history="1">
              <w:r>
                <w:rPr>
                  <w:color w:val="auto"/>
                  <w:highlight w:val="none"/>
                  <w:u w:val="single"/>
                </w:rPr>
                <w:t xml:space="preserve">6</w:t>
              </w:r>
            </w:hyperlink>
            <w:r>
              <w:rPr>
                <w:color w:val="auto"/>
                <w:highlight w:val="none"/>
              </w:rPr>
              <w:t xml:space="preserve"> і </w:t>
            </w:r>
            <w:hyperlink r:id="rId24" w:tooltip="https://zakon.rada.gov.ua/laws/show/1178-2022-%D0%BF#n410" w:anchor="n410" w:history="1">
              <w:r>
                <w:rPr>
                  <w:color w:val="auto"/>
                  <w:highlight w:val="none"/>
                  <w:u w:val="single"/>
                </w:rPr>
                <w:t xml:space="preserve">12</w:t>
              </w:r>
            </w:hyperlink>
            <w:r>
              <w:rPr>
                <w:color w:val="auto"/>
                <w:highlight w:val="none"/>
              </w:rPr>
              <w:t xml:space="preserve"> та в </w:t>
            </w:r>
            <w:hyperlink r:id="rId25" w:tooltip="https://zakon.rada.gov.ua/laws/show/1178-2022-%D0%BF#n411" w:anchor="n411" w:history="1">
              <w:r>
                <w:rPr>
                  <w:color w:val="auto"/>
                  <w:highlight w:val="none"/>
                  <w:u w:val="single"/>
                </w:rPr>
                <w:t xml:space="preserve">абзаці чотирнадцятому</w:t>
              </w:r>
            </w:hyperlink>
            <w:r>
              <w:rPr>
                <w:color w:val="auto"/>
                <w:highlight w:val="none"/>
              </w:rPr>
              <w:t xml:space="preserve">  пункту </w:t>
            </w:r>
            <w:r>
              <w:rPr>
                <w:color w:val="auto"/>
                <w:highlight w:val="none"/>
              </w:rPr>
              <w:t xml:space="preserve"> 47</w:t>
            </w:r>
            <w:r>
              <w:rPr>
                <w:color w:val="auto"/>
                <w:highlight w:val="none"/>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26" w:tooltip="https://zakon.rada.gov.ua/laws/show/2939-17" w:history="1">
              <w:r>
                <w:rPr>
                  <w:color w:val="auto"/>
                  <w:highlight w:val="none"/>
                  <w:u w:val="single"/>
                </w:rPr>
                <w:t xml:space="preserve">Законом України</w:t>
              </w:r>
            </w:hyperlink>
            <w:r>
              <w:rPr>
                <w:color w:val="auto"/>
                <w:highlight w:val="non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Pr>
                <w:color w:val="auto"/>
                <w:highlight w:val="none"/>
              </w:rPr>
              <w:t xml:space="preserve">закупівель</w:t>
            </w:r>
            <w:r>
              <w:rPr>
                <w:color w:val="auto"/>
                <w:highlight w:val="none"/>
              </w:rPr>
              <w:t xml:space="preserve">, крім випадків, коли доступ до такої інформації є обмеженим на момент оприлюднення оголошення про проведення відкритих торгів.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 Для підтвердження відсутності підстав для відмови в участі у процедурі закупівлі, Переможець у </w:t>
            </w:r>
            <w:r>
              <w:rPr>
                <w:color w:val="auto"/>
                <w:highlight w:val="none"/>
              </w:rPr>
              <w:t xml:space="preserve">строк, що не перевищує чотири дні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повинен надати замовнику шляхом оприлюднення в електронній системі </w:t>
            </w:r>
            <w:r>
              <w:rPr>
                <w:color w:val="auto"/>
                <w:highlight w:val="none"/>
              </w:rPr>
              <w:t xml:space="preserve">закупівель</w:t>
            </w:r>
            <w:r>
              <w:rPr>
                <w:color w:val="auto"/>
                <w:highlight w:val="none"/>
              </w:rPr>
              <w:t xml:space="preserve"> наступні документи: </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5.7.1. </w:t>
            </w:r>
            <w:r>
              <w:rPr>
                <w:b/>
                <w:color w:val="auto"/>
                <w:highlight w:val="none"/>
              </w:rPr>
              <w:t xml:space="preserve">Щодо відсутності підстав для відмови в участі, визначених підпунктом 3 пункту </w:t>
            </w:r>
            <w:r>
              <w:rPr>
                <w:color w:val="auto"/>
                <w:highlight w:val="none"/>
              </w:rPr>
              <w:t xml:space="preserve">47</w:t>
            </w:r>
            <w:r>
              <w:rPr>
                <w:b/>
                <w:color w:val="auto"/>
                <w:highlight w:val="none"/>
              </w:rPr>
              <w:t xml:space="preserve"> Особливостей:</w:t>
            </w:r>
            <w:r>
              <w:rPr>
                <w:color w:val="auto"/>
                <w:highlight w:val="none"/>
              </w:rPr>
              <w:t xml:space="preserve"> Оскільки наразі Єдиний державний реєстр </w:t>
            </w:r>
            <w:r>
              <w:rPr>
                <w:color w:val="auto"/>
                <w:highlight w:val="none"/>
              </w:rPr>
              <w:t xml:space="preserve">осiб</w:t>
            </w:r>
            <w:r>
              <w:rPr>
                <w:color w:val="auto"/>
                <w:highlight w:val="none"/>
              </w:rPr>
              <w:t xml:space="preserve">, </w:t>
            </w:r>
            <w:r>
              <w:rPr>
                <w:color w:val="auto"/>
                <w:highlight w:val="none"/>
              </w:rPr>
              <w:t xml:space="preserve">якi</w:t>
            </w:r>
            <w:r>
              <w:rPr>
                <w:color w:val="auto"/>
                <w:highlight w:val="none"/>
              </w:rPr>
              <w:t xml:space="preserve"> вчинили </w:t>
            </w:r>
            <w:r>
              <w:rPr>
                <w:color w:val="auto"/>
                <w:highlight w:val="none"/>
              </w:rPr>
              <w:t xml:space="preserve">корупцiйнi</w:t>
            </w:r>
            <w:r>
              <w:rPr>
                <w:color w:val="auto"/>
                <w:highlight w:val="none"/>
              </w:rPr>
              <w:t xml:space="preserve"> або </w:t>
            </w:r>
            <w:r>
              <w:rPr>
                <w:color w:val="auto"/>
                <w:highlight w:val="none"/>
              </w:rPr>
              <w:t xml:space="preserve">пов'язанi</w:t>
            </w:r>
            <w:r>
              <w:rPr>
                <w:color w:val="auto"/>
                <w:highlight w:val="none"/>
              </w:rPr>
              <w:t xml:space="preserve"> </w:t>
            </w:r>
            <w:r>
              <w:rPr>
                <w:color w:val="auto"/>
                <w:highlight w:val="none"/>
              </w:rPr>
              <w:t xml:space="preserve">корупцiєю</w:t>
            </w:r>
            <w:r>
              <w:rPr>
                <w:color w:val="auto"/>
                <w:highlight w:val="none"/>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Pr>
                <w:b/>
                <w:color w:val="auto"/>
                <w:highlight w:val="none"/>
              </w:rPr>
              <w:t xml:space="preserve">переможець надає інформаційну довідку з Єдиного державного реєстру осіб, які вчинили корупційні або пов’язані з корупцією</w:t>
            </w:r>
            <w:r>
              <w:rPr>
                <w:b/>
                <w:color w:val="auto"/>
                <w:highlight w:val="none"/>
              </w:rPr>
              <w:t xml:space="preserve">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Pr>
                <w:color w:val="auto"/>
                <w:highlight w:val="none"/>
              </w:rPr>
              <w:t xml:space="preserve">Надається переможцем виключно у разі, якщо у Замовника буде відсутній вільний доступ до Єдиного державного реєстру </w:t>
            </w:r>
            <w:r>
              <w:rPr>
                <w:color w:val="auto"/>
                <w:highlight w:val="none"/>
              </w:rPr>
              <w:t xml:space="preserve">осiб</w:t>
            </w:r>
            <w:r>
              <w:rPr>
                <w:color w:val="auto"/>
                <w:highlight w:val="none"/>
              </w:rPr>
              <w:t xml:space="preserve">, </w:t>
            </w:r>
            <w:r>
              <w:rPr>
                <w:color w:val="auto"/>
                <w:highlight w:val="none"/>
              </w:rPr>
              <w:t xml:space="preserve">якi</w:t>
            </w:r>
            <w:r>
              <w:rPr>
                <w:color w:val="auto"/>
                <w:highlight w:val="none"/>
              </w:rPr>
              <w:t xml:space="preserve"> вчинили </w:t>
            </w:r>
            <w:r>
              <w:rPr>
                <w:color w:val="auto"/>
                <w:highlight w:val="none"/>
              </w:rPr>
              <w:t xml:space="preserve">корупцiйнi</w:t>
            </w:r>
            <w:r>
              <w:rPr>
                <w:color w:val="auto"/>
                <w:highlight w:val="none"/>
              </w:rPr>
              <w:t xml:space="preserve"> або </w:t>
            </w:r>
            <w:r>
              <w:rPr>
                <w:color w:val="auto"/>
                <w:highlight w:val="none"/>
              </w:rPr>
              <w:t xml:space="preserve">пов'язанi</w:t>
            </w:r>
            <w:r>
              <w:rPr>
                <w:color w:val="auto"/>
                <w:highlight w:val="none"/>
              </w:rPr>
              <w:t xml:space="preserve"> </w:t>
            </w:r>
            <w:r>
              <w:rPr>
                <w:color w:val="auto"/>
                <w:highlight w:val="none"/>
              </w:rPr>
              <w:t xml:space="preserve">корупцiєю</w:t>
            </w:r>
            <w:r>
              <w:rPr>
                <w:color w:val="auto"/>
                <w:highlight w:val="none"/>
              </w:rPr>
              <w:t xml:space="preserve"> правопорушення.</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довідка надана у формі електронного документа</w:t>
            </w:r>
            <w:r>
              <w:rPr>
                <w:color w:val="auto"/>
                <w:highlight w:val="none"/>
              </w:rPr>
              <w:t xml:space="preserve">,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(файл з розширенням «.p7s»), який містить інформацію пр</w:t>
            </w:r>
            <w:r>
              <w:rPr>
                <w:color w:val="auto"/>
                <w:highlight w:val="none"/>
              </w:rPr>
              <w:t xml:space="preserve">о час та дату підпису довідки/витягу/інформації. Якщо інформаційна довідка або витяг або інший документ містить QR-код для перевірки його достовірності  і оригінальності, вимога про обов’язкову наявність електронного підпису або печатки не застосовується. </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У випадку письмового підтвердження переможцем інформації</w:t>
            </w:r>
            <w:r>
              <w:rPr>
                <w:color w:val="auto"/>
                <w:highlight w:val="none"/>
              </w:rPr>
              <w:t xml:space="preserve">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w:t>
            </w:r>
            <w:r>
              <w:rPr>
                <w:color w:val="auto"/>
                <w:highlight w:val="none"/>
              </w:rPr>
              <w:t xml:space="preserve">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5.7.2. </w:t>
            </w:r>
            <w:r>
              <w:rPr>
                <w:b/>
                <w:color w:val="auto"/>
                <w:highlight w:val="none"/>
              </w:rPr>
              <w:t xml:space="preserve">Щодо відсутності підстав для відмови в участі, визначених підпунктом 5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наявності </w:t>
            </w:r>
            <w:r>
              <w:rPr>
                <w:color w:val="auto"/>
                <w:highlight w:val="none"/>
              </w:rPr>
              <w:t xml:space="preserve">судимості» (далі – Витяг), що містить відомості про те, що фізична особа, яка є уч</w:t>
            </w:r>
            <w:r>
              <w:rPr>
                <w:color w:val="auto"/>
                <w:highlight w:val="none"/>
              </w:rPr>
              <w:t xml:space="preserve">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w:t>
            </w:r>
            <w:r>
              <w:rPr>
                <w:color w:val="auto"/>
                <w:highlight w:val="none"/>
              </w:rPr>
              <w:t xml:space="preserve">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 </w:t>
            </w:r>
            <w:r>
              <w:rPr>
                <w:i/>
                <w:color w:val="auto"/>
                <w:highlight w:val="none"/>
              </w:rPr>
              <w:t xml:space="preserve">(надається учасником-переможцем, який за своїм статусом є фізичною особою чи фізичною особою-підприємець).</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7"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5.7.3. </w:t>
            </w:r>
            <w:r>
              <w:rPr>
                <w:b/>
                <w:color w:val="auto"/>
                <w:highlight w:val="none"/>
              </w:rPr>
              <w:t xml:space="preserve">Щодо відсутності підстав для відмови в участі, визначених підпунктом 6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w:t>
            </w:r>
            <w:r>
              <w:rPr>
                <w:color w:val="auto"/>
                <w:highlight w:val="none"/>
              </w:rPr>
              <w:t xml:space="preserve">що керівника учасника, не було засуджено за кримінальне правопорушення, вчинене з корисливих мотивів (зокрема, пов’язане з хабарництвом та відмиванням коштів) судимість з якої (якого) не знято або не погашено у встановленому законом порядку (або до криміна</w:t>
            </w:r>
            <w:r>
              <w:rPr>
                <w:color w:val="auto"/>
                <w:highlight w:val="none"/>
              </w:rPr>
              <w:t xml:space="preserve">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8"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5.7.4. </w:t>
            </w:r>
            <w:r>
              <w:rPr>
                <w:b/>
                <w:color w:val="auto"/>
                <w:highlight w:val="none"/>
              </w:rPr>
              <w:t xml:space="preserve">Щодо відсутності підстав для відмови в участі, визначених підпунктом 12 пункту </w:t>
            </w:r>
            <w:r>
              <w:rPr>
                <w:color w:val="auto"/>
                <w:highlight w:val="none"/>
              </w:rPr>
              <w:t xml:space="preserve">47</w:t>
            </w:r>
            <w:r>
              <w:rPr>
                <w:b/>
                <w:color w:val="auto"/>
                <w:highlight w:val="none"/>
              </w:rPr>
              <w:t xml:space="preserve"> Особливостей: </w:t>
            </w:r>
            <w:r>
              <w:rPr>
                <w:color w:val="auto"/>
                <w:highlight w:val="none"/>
              </w:rPr>
              <w:t xml:space="preserve">Витяг з інформаційно-аналітичної системи «Облік відомостей про притягнення особи до кримінальної відповідальності та наявн</w:t>
            </w:r>
            <w:r>
              <w:rPr>
                <w:color w:val="auto"/>
                <w:highlight w:val="none"/>
              </w:rPr>
              <w:t xml:space="preserve">ості судимості» (далі – Витяг) що містить відомості про те, що керівника учасника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w:t>
            </w:r>
            <w:r>
              <w:rPr>
                <w:color w:val="auto"/>
                <w:highlight w:val="none"/>
              </w:rPr>
              <w:t xml:space="preserve">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r>
              <w:rPr>
                <w:color w:val="auto"/>
                <w:highlight w:val="none"/>
              </w:rPr>
              <w:t xml:space="preserve">перебуваючим</w:t>
            </w:r>
            <w:r>
              <w:rPr>
                <w:color w:val="auto"/>
                <w:highlight w:val="none"/>
              </w:rPr>
              <w:t xml:space="preserve"> у його підпорядкуванні) у відповідності з Наказом МВС України № 207 від 30.03.2022 р. не раніше дати оприлюднення в електронній системі оголошення про проведення закупівлі.</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Якщо Витяг наданий у формі електронного документа, в такому разі згідно із Законом У</w:t>
            </w:r>
            <w:r>
              <w:rPr>
                <w:color w:val="auto"/>
                <w:highlight w:val="none"/>
              </w:rPr>
              <w:t xml:space="preserve">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Витяг можливо отримати за посиланням </w:t>
            </w:r>
            <w:hyperlink r:id="rId29" w:tooltip="https://vytiah.mvs.gov.ua/app/landing" w:history="1">
              <w:r>
                <w:rPr>
                  <w:color w:val="auto"/>
                  <w:highlight w:val="none"/>
                  <w:u w:val="single"/>
                </w:rPr>
                <w:t xml:space="preserve">https://vytiah.mvs.gov.ua/app/landing</w:t>
              </w:r>
            </w:hyperlink>
            <w:r>
              <w:rPr>
                <w:color w:val="auto"/>
                <w:highlight w:val="none"/>
              </w:rPr>
              <w:t xml:space="preserve">.</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5.7.5. </w:t>
            </w:r>
            <w:r>
              <w:rPr>
                <w:b/>
                <w:color w:val="auto"/>
                <w:highlight w:val="none"/>
              </w:rPr>
              <w:t xml:space="preserve">Щодо відсутності підстав для відмови в участі, визначених абзацом чотирнадцятим пункту </w:t>
            </w:r>
            <w:r>
              <w:rPr>
                <w:color w:val="auto"/>
                <w:highlight w:val="none"/>
              </w:rPr>
              <w:t xml:space="preserve">47</w:t>
            </w:r>
            <w:r>
              <w:rPr>
                <w:b/>
                <w:color w:val="auto"/>
                <w:highlight w:val="none"/>
              </w:rPr>
              <w:t xml:space="preserve"> Особливостей:</w:t>
            </w:r>
            <w:r>
              <w:rPr>
                <w:color w:val="auto"/>
                <w:highlight w:val="none"/>
              </w:rPr>
              <w:t xml:space="preserve"> Довідку у довільній формі про те, що Переможець має/не має досвід співпраці з замовником цієї закупівлі та виконав/не виконав свої зобов’язання за раніше укладеним договором про закупівлю з цим самим з</w:t>
            </w:r>
            <w:r>
              <w:rPr>
                <w:color w:val="auto"/>
                <w:highlight w:val="none"/>
              </w:rPr>
              <w:t xml:space="preserve">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Переможець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w:t>
            </w:r>
            <w:r>
              <w:rPr>
                <w:color w:val="auto"/>
                <w:highlight w:val="none"/>
              </w:rPr>
              <w:t xml:space="preserve">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t xml:space="preserve">На підставі абзаців першого і  другого пункту 42 Особливостей, </w:t>
            </w:r>
            <w:r>
              <w:rPr>
                <w:color w:val="auto"/>
                <w:highlight w:val="none"/>
              </w:rPr>
              <w:t xml:space="preserve">Замовник має право звернутися за підтвердженням інформації, наданої учасником </w:t>
            </w:r>
            <w:r>
              <w:rPr>
                <w:color w:val="auto"/>
                <w:highlight w:val="none"/>
              </w:rPr>
              <w:t xml:space="preserve">процедури закупівлі, до органів державної влади, підприємств, установ, організацій відповідно до їх компетенції.</w:t>
            </w:r>
            <w:r>
              <w:rPr>
                <w:color w:val="auto"/>
                <w:highlight w:val="none"/>
              </w:rPr>
              <w:t xml:space="preserve"> З цією метою у складі тендерної пропозиції учасник повинен надати лист-згоду щодо можливості звернення </w:t>
            </w:r>
            <w:r>
              <w:rPr>
                <w:color w:val="auto"/>
                <w:highlight w:val="none"/>
              </w:rPr>
              <w:t xml:space="preserve">Замовника до органів державної влади, підприємств, установ, організацій відповідно до їх компетенції, за підтвердженням інформації, наданої учасником та оформлену відповідно до вимог цивільного законодавства довіреність на посадову особу замовника, уповнов</w:t>
            </w:r>
            <w:r>
              <w:rPr>
                <w:color w:val="auto"/>
                <w:highlight w:val="none"/>
              </w:rPr>
              <w:t xml:space="preserve">ажену здійснювати зв'язок з учасниками, що передбачена в оголошенні про проведення процедури закупівлі та тендерній документації, на право отримання інформації щодо відповідності учасника кваліфікаційним критеріям та наявності підстав, зазначених пунктом  </w:t>
            </w:r>
            <w:r>
              <w:rPr>
                <w:color w:val="auto"/>
                <w:highlight w:val="none"/>
              </w:rPr>
              <w:t xml:space="preserve">47 Особливостей, чи зазначення в пропозиції будь-якої недостовірної інформації, строк дії якої повинен бути не менше строку дії тендерної пропозиції учасника. У разі отримання достовірної інформації про його невідповідність вимогам кваліфікаційних критерії</w:t>
            </w:r>
            <w:r>
              <w:rPr>
                <w:color w:val="auto"/>
                <w:highlight w:val="none"/>
              </w:rPr>
              <w:t xml:space="preserve">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color w:val="auto"/>
                <w:highlight w:val="none"/>
              </w:rPr>
            </w:r>
            <w:bookmarkStart w:id="17" w:name="_2jxsxqh"/>
            <w:r>
              <w:rPr>
                <w:color w:val="auto"/>
                <w:highlight w:val="none"/>
              </w:rPr>
            </w:r>
            <w:bookmarkEnd w:id="17"/>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технічні, якісні та кількісні характеристики предмета закупівлі</w:t>
            </w:r>
            <w:r>
              <w:rPr>
                <w:b/>
                <w:color w:val="auto"/>
                <w:highlight w:val="none"/>
              </w:rPr>
            </w:r>
            <w:r>
              <w:rPr>
                <w:b/>
                <w:color w:val="auto"/>
                <w:highlight w:val="none"/>
              </w:rPr>
            </w:r>
          </w:p>
        </w:tc>
        <w:tc>
          <w:tcPr>
            <w:shd w:val="clear" w:color="auto" w:fill="auto"/>
            <w:tcBorders/>
            <w:tcW w:w="5817" w:type="dxa"/>
            <w:textDirection w:val="lrTb"/>
            <w:noWrap w:val="false"/>
          </w:tcPr>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ind/>
              <w:jc w:val="both"/>
              <w:rPr>
                <w:color w:val="auto"/>
                <w:highlight w:val="none"/>
              </w:rPr>
            </w:pPr>
            <w:r>
              <w:rPr>
                <w:color w:val="auto"/>
                <w:highlight w:val="none"/>
              </w:rPr>
            </w:r>
            <w:bookmarkStart w:id="18" w:name="_z337ya"/>
            <w:r>
              <w:rPr>
                <w:color w:val="auto"/>
                <w:highlight w:val="none"/>
              </w:rPr>
            </w:r>
            <w:bookmarkEnd w:id="18"/>
            <w:r>
              <w:rPr>
                <w:color w:val="auto"/>
                <w:highlight w:val="none"/>
              </w:rPr>
              <w:t xml:space="preserve">Учасники процедури закупівлі п</w:t>
            </w:r>
            <w:r>
              <w:rPr>
                <w:color w:val="auto"/>
                <w:highlight w:val="none"/>
              </w:rPr>
              <w:t xml:space="preserve">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7</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Інформація про субпідрядника/співвиконавця  (у випадку закупівлі робіт та послуг)</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Учасник процеду</w:t>
            </w:r>
            <w:r>
              <w:rPr>
                <w:color w:val="auto"/>
                <w:highlight w:val="none"/>
              </w:rPr>
              <w:t xml:space="preserve">ри закупівлі зазначає у тендерній пропозиції повне найменування та місцезнаходження кожного суб'єкта господарювання, в обсязі не менше ніж 20 відсотків від вартості договору про закупівлю, якого учасник планує залучати до виконання робіт, як субпідрядника.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При цьому, учасник несе відповідальність за наявність у субпідрядників всіх необхідних для виконання відповідних робіт дозвільних докумен</w:t>
            </w:r>
            <w:r>
              <w:rPr>
                <w:color w:val="auto"/>
                <w:highlight w:val="none"/>
              </w:rPr>
              <w:t xml:space="preserve">тів. Субпідрядники, що залучаються учасником до виконання окремих відповідних субпідрядних робіт/послуг, повинні відповідати кваліфікаційним вимогам Замовника, мати ресурси (матеріальні, технічні, трудові), достатні для виконання відповідних робіт/послуг. </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залучення субпідрядної організації, в обсязі не менше ніж 20 відсотків від вартості договору про закупівлю, учасник повинен надати лист-згоду субпідрядної організації на здійснення робіт, що є предметом закупівлі.</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8</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Внесення змін або відкликання тендерної пропозиції учасником</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Учасник процедури закупівлі має право </w:t>
            </w:r>
            <w:r>
              <w:rPr>
                <w:color w:val="auto"/>
                <w:highlight w:val="none"/>
              </w:rPr>
              <w:t xml:space="preserve">внести</w:t>
            </w:r>
            <w:r>
              <w:rPr>
                <w:color w:val="auto"/>
                <w:highlight w: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w:t>
            </w:r>
            <w:r>
              <w:rPr>
                <w:color w:val="auto"/>
                <w:highlight w:val="none"/>
              </w:rPr>
              <w:t xml:space="preserve">вимагалось. Такі зміни або заява про відкликання тендерної пропозиції враховуються, якщо вони отримані електронною системою </w:t>
            </w:r>
            <w:r>
              <w:rPr>
                <w:color w:val="auto"/>
                <w:highlight w:val="none"/>
              </w:rPr>
              <w:t xml:space="preserve">закупівель</w:t>
            </w:r>
            <w:r>
              <w:rPr>
                <w:color w:val="auto"/>
                <w:highlight w:val="none"/>
              </w:rPr>
              <w:t xml:space="preserve"> до закінчення кінцевого строку подання тендерних пропозицій.</w:t>
            </w:r>
            <w:r>
              <w:rPr>
                <w:color w:val="auto"/>
                <w:highlight w:val="none"/>
              </w:rPr>
            </w:r>
            <w:r>
              <w:rPr>
                <w:color w:val="auto"/>
                <w:highlight w:val="none"/>
              </w:rPr>
            </w:r>
          </w:p>
        </w:tc>
      </w:tr>
      <w:tr>
        <w:trPr>
          <w:trHeight w:val="522"/>
        </w:trPr>
        <w:tc>
          <w:tcPr>
            <w:gridSpan w:val="3"/>
            <w:shd w:val="clear" w:color="auto" w:fill="auto"/>
            <w:tcBorders/>
            <w:tcW w:w="10774" w:type="dxa"/>
            <w:textDirection w:val="lrTb"/>
            <w:noWrap w:val="false"/>
          </w:tcPr>
          <w:p>
            <w:pPr>
              <w:widowControl w:val="false"/>
              <w:pBdr/>
              <w:spacing/>
              <w:ind w:right="113" w:hanging="23" w:left="34"/>
              <w:jc w:val="center"/>
              <w:rPr>
                <w:b/>
                <w:color w:val="auto"/>
                <w:highlight w:val="none"/>
              </w:rPr>
            </w:pPr>
            <w:r>
              <w:rPr>
                <w:b/>
                <w:color w:val="auto"/>
                <w:highlight w:val="none"/>
              </w:rPr>
              <w:t xml:space="preserve">Розділ ІV Подання та розкриття тендерної пропозиції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top w:val="none" w:color="000000" w:sz="4" w:space="0"/>
                <w:left w:val="none" w:color="000000" w:sz="4" w:space="0"/>
                <w:bottom w:val="none" w:color="000000" w:sz="4" w:space="0"/>
                <w:right w:val="none" w:color="000000" w:sz="4" w:space="0"/>
                <w:between w:val="none" w:color="000000" w:sz="4" w:space="0"/>
              </w:pBdr>
              <w:spacing/>
              <w:ind w:right="113"/>
              <w:rPr>
                <w:b/>
                <w:color w:val="auto"/>
                <w:highlight w:val="none"/>
              </w:rPr>
            </w:pPr>
            <w:r>
              <w:rPr>
                <w:b/>
                <w:color w:val="auto"/>
                <w:highlight w:val="none"/>
              </w:rPr>
              <w:t xml:space="preserve">Кінцевий строк подання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pBdr/>
              <w:spacing w:after="150" w:before="150"/>
              <w:ind/>
              <w:jc w:val="both"/>
              <w:rPr>
                <w:rFonts w:eastAsia="Times New Roman"/>
                <w:i/>
                <w:iCs/>
                <w:color w:val="auto"/>
                <w:highlight w:val="none"/>
              </w:rPr>
            </w:pPr>
            <w:r>
              <w:rPr>
                <w:rFonts w:eastAsia="Times New Roman"/>
                <w:color w:val="auto"/>
                <w:highlight w:val="none"/>
                <w:lang w:eastAsia="ru-RU"/>
              </w:rPr>
              <w:t xml:space="preserve">Кінцевий строк подання тендерних пропозицій: зазначений в електронній закупівлі.</w:t>
            </w:r>
            <w:r>
              <w:rPr>
                <w:color w:val="auto"/>
                <w:highlight w:val="none"/>
              </w:rPr>
            </w:r>
            <w:bookmarkStart w:id="19" w:name="_3j2qqm3"/>
            <w:r>
              <w:rPr>
                <w:color w:val="auto"/>
                <w:highlight w:val="none"/>
              </w:rPr>
            </w:r>
            <w:bookmarkEnd w:id="19"/>
            <w:r>
              <w:rPr>
                <w:rFonts w:eastAsia="Times New Roman"/>
                <w:i/>
                <w:iCs/>
                <w:color w:val="auto"/>
                <w:highlight w:val="none"/>
              </w:rPr>
            </w:r>
            <w:r>
              <w:rPr>
                <w:rFonts w:eastAsia="Times New Roman"/>
                <w:i/>
                <w:iCs/>
                <w:color w:val="auto"/>
                <w:highlight w:val="none"/>
              </w:rPr>
            </w:r>
          </w:p>
          <w:p>
            <w:pPr>
              <w:widowControl w:val="false"/>
              <w:pBdr/>
              <w:spacing/>
              <w:ind w:left="34"/>
              <w:jc w:val="both"/>
              <w:rPr>
                <w:color w:val="auto"/>
                <w:highlight w:val="none"/>
              </w:rPr>
            </w:pPr>
            <w:r>
              <w:rPr>
                <w:color w:val="auto"/>
                <w:highlight w:val="none"/>
              </w:rPr>
              <w:t xml:space="preserve">Отримана тендерна пропозиція автоматично вноситься до реєстру.</w:t>
            </w:r>
            <w:r>
              <w:rPr>
                <w:color w:val="auto"/>
                <w:highlight w:val="none"/>
              </w:rPr>
            </w:r>
            <w:r>
              <w:rPr>
                <w:color w:val="auto"/>
                <w:highlight w:val="none"/>
              </w:rPr>
            </w:r>
          </w:p>
          <w:p>
            <w:pPr>
              <w:widowControl w:val="false"/>
              <w:pBdr/>
              <w:spacing/>
              <w:ind w:left="34"/>
              <w:jc w:val="both"/>
              <w:rPr>
                <w:color w:val="auto"/>
                <w:highlight w:val="none"/>
              </w:rPr>
            </w:pPr>
            <w:r>
              <w:rPr>
                <w:color w:val="auto"/>
                <w:highlight w:val="none"/>
              </w:rPr>
              <w:t xml:space="preserve">Електронна система </w:t>
            </w:r>
            <w:r>
              <w:rPr>
                <w:color w:val="auto"/>
                <w:highlight w:val="none"/>
              </w:rPr>
              <w:t xml:space="preserve">закупівель</w:t>
            </w:r>
            <w:r>
              <w:rPr>
                <w:color w:val="auto"/>
                <w:highlight w:val="none"/>
              </w:rPr>
              <w:t xml:space="preserve"> автоматично формує та надсилає повідомлення учаснику про отримання його пропозиції із зазначенням дати та часу.</w:t>
            </w:r>
            <w:r>
              <w:rPr>
                <w:color w:val="auto"/>
                <w:highlight w:val="none"/>
              </w:rPr>
            </w:r>
            <w:r>
              <w:rPr>
                <w:color w:val="auto"/>
                <w:highlight w:val="none"/>
              </w:rPr>
            </w:r>
          </w:p>
          <w:p>
            <w:pPr>
              <w:widowControl w:val="false"/>
              <w:pBdr/>
              <w:spacing/>
              <w:ind w:left="34"/>
              <w:jc w:val="both"/>
              <w:rPr>
                <w:color w:val="auto"/>
                <w:highlight w:val="none"/>
              </w:rPr>
            </w:pPr>
            <w:r>
              <w:rPr>
                <w:color w:val="auto"/>
                <w:highlight w:val="none"/>
              </w:rPr>
              <w:t xml:space="preserve">Тендерні пропозиції після закінчення кінцевого строку їх подання не приймаються електронною системою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Дата та час розкриття тендерної пропозиції</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jc w:val="both"/>
              <w:rPr>
                <w:color w:val="auto"/>
                <w:highlight w:val="none"/>
              </w:rPr>
            </w:pPr>
            <w:r>
              <w:rPr>
                <w:color w:val="auto"/>
                <w:highlight w:val="none"/>
              </w:rPr>
              <w:t xml:space="preserve">Дата і час розкриття тендерних пропозицій, дата і час проведення електронного аукціону визначаються електронною системою </w:t>
            </w:r>
            <w:r>
              <w:rPr>
                <w:color w:val="auto"/>
                <w:highlight w:val="none"/>
              </w:rPr>
              <w:t xml:space="preserve">закупівель</w:t>
            </w:r>
            <w:r>
              <w:rPr>
                <w:color w:val="auto"/>
                <w:highlight w:val="none"/>
              </w:rPr>
              <w:t xml:space="preserve"> автоматично в день оприлюднення замовником оголошення про проведення відкритих торгів в електронній системі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w:t>
            </w:r>
            <w:r>
              <w:rPr>
                <w:color w:val="auto"/>
                <w:highlight w:val="none"/>
              </w:rPr>
              <w:t xml:space="preserve">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color w:val="auto"/>
                <w:highlight w:val="none"/>
              </w:rPr>
            </w:r>
            <w:r>
              <w:rPr>
                <w:color w:val="auto"/>
                <w:highlight w:val="none"/>
              </w:rPr>
            </w:r>
          </w:p>
        </w:tc>
      </w:tr>
      <w:tr>
        <w:trPr>
          <w:trHeight w:val="522"/>
        </w:trPr>
        <w:tc>
          <w:tcPr>
            <w:gridSpan w:val="3"/>
            <w:shd w:val="clear" w:color="auto" w:fill="auto"/>
            <w:tcBorders/>
            <w:tcW w:w="10774" w:type="dxa"/>
            <w:textDirection w:val="lrTb"/>
            <w:noWrap w:val="false"/>
          </w:tcPr>
          <w:p>
            <w:pPr>
              <w:widowControl w:val="false"/>
              <w:pBdr/>
              <w:spacing/>
              <w:ind w:right="113"/>
              <w:jc w:val="center"/>
              <w:rPr>
                <w:b/>
                <w:color w:val="auto"/>
                <w:highlight w:val="none"/>
              </w:rPr>
            </w:pPr>
            <w:r>
              <w:rPr>
                <w:b/>
                <w:color w:val="auto"/>
                <w:highlight w:val="none"/>
              </w:rPr>
              <w:t xml:space="preserve">Розділ V Оцінка тендерної пропозиції</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color w:val="auto"/>
                <w:highlight w:val="none"/>
              </w:rPr>
              <w:t xml:space="preserve">Перелік критеріїв та методика оцінки тендерної пропозиції із зазначенням питомої ваги критерію</w:t>
            </w:r>
            <w:r>
              <w:rPr>
                <w:b/>
                <w:color w:val="auto"/>
                <w:highlight w:val="none"/>
              </w:rPr>
            </w:r>
            <w:r>
              <w:rPr>
                <w:b/>
                <w:color w:val="auto"/>
                <w:highlight w:val="none"/>
              </w:rPr>
            </w:r>
          </w:p>
        </w:tc>
        <w:tc>
          <w:tcPr>
            <w:shd w:val="clear" w:color="auto" w:fill="auto"/>
            <w:tcBorders/>
            <w:tcW w:w="5817" w:type="dxa"/>
            <w:vAlign w:val="center"/>
            <w:textDirection w:val="lrTb"/>
            <w:noWrap w:val="false"/>
          </w:tcPr>
          <w:p>
            <w:pPr>
              <w:pBdr/>
              <w:shd w:val="clear" w:color="auto" w:fill="ffffff"/>
              <w:spacing/>
              <w:ind/>
              <w:jc w:val="both"/>
              <w:rPr>
                <w:b/>
                <w:color w:val="auto"/>
                <w:highlight w:val="none"/>
              </w:rPr>
            </w:pPr>
            <w:r>
              <w:rPr>
                <w:color w:val="auto"/>
                <w:highlight w:val="none"/>
              </w:rPr>
              <w:t xml:space="preserve">Розгляд та оцінка тендерних пропозицій здійснюються відповідно до статті 29 Закону (положення частин другої, дванадцятої, </w:t>
            </w:r>
            <w:hyperlink r:id="rId30" w:tooltip="https://zakon.rada.gov.ua/laws/show/922-19#n1553" w:anchor="n1553" w:history="1">
              <w:r>
                <w:rPr>
                  <w:color w:val="auto"/>
                  <w:highlight w:val="none"/>
                </w:rPr>
                <w:t xml:space="preserve">шістнадцятої</w:t>
              </w:r>
            </w:hyperlink>
            <w:r>
              <w:rPr>
                <w:color w:val="auto"/>
                <w:highlight w:val="none"/>
              </w:rPr>
              <w:t xml:space="preserve">, абзаців другого і третього частини п’ятнадцятої статті 29 Закону не застосовуються) з урахуванням положень пункту 43 Особливостей.</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r>
              <w:rPr>
                <w:color w:val="auto"/>
                <w:highlight w:val="none"/>
              </w:rPr>
              <w:t xml:space="preserve">закупівель</w:t>
            </w:r>
            <w:r>
              <w:rPr>
                <w:color w:val="auto"/>
                <w:highlight w:val="none"/>
              </w:rPr>
              <w:t xml:space="preserve"> відповідно до статті 30 Закону.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Критерії та методика оцінки визначаються відповідно до статті 29 Закону.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Перелік критеріїв та методика оцінки тендерної пропозиції із зазначенням питомої ваги критерію:</w:t>
            </w:r>
            <w:r>
              <w:rPr>
                <w:b/>
                <w:color w:val="auto"/>
                <w:highlight w:val="none"/>
              </w:rPr>
            </w:r>
            <w:r>
              <w:rPr>
                <w:b/>
                <w:color w:val="auto"/>
                <w:highlight w:val="none"/>
              </w:rPr>
            </w:r>
          </w:p>
          <w:p>
            <w:pPr>
              <w:pBdr/>
              <w:spacing/>
              <w:ind/>
              <w:jc w:val="both"/>
              <w:rPr>
                <w:b/>
                <w:i/>
                <w:color w:val="auto"/>
                <w:highlight w:val="none"/>
              </w:rPr>
            </w:pPr>
            <w:r>
              <w:rPr>
                <w:color w:val="auto"/>
                <w:highlight w:val="none"/>
              </w:rPr>
              <w:t xml:space="preserve">Оцінка тендерних пропозицій проводиться автоматично електронною системою </w:t>
            </w:r>
            <w:r>
              <w:rPr>
                <w:color w:val="auto"/>
                <w:highlight w:val="none"/>
              </w:rPr>
              <w:t xml:space="preserve">закупівель</w:t>
            </w:r>
            <w:r>
              <w:rPr>
                <w:color w:val="auto"/>
                <w:highlight w:val="none"/>
              </w:rPr>
              <w:t xml:space="preserve"> на </w:t>
            </w:r>
            <w:r>
              <w:rPr>
                <w:color w:val="auto"/>
                <w:highlight w:val="none"/>
              </w:rPr>
              <w:t xml:space="preserve">основі критеріїв і методики оцінки, зазначених замовником у тендерній документації, шляхом застосування електронного аукціону </w:t>
            </w:r>
            <w:r>
              <w:rPr>
                <w:i/>
                <w:color w:val="auto"/>
                <w:highlight w:val="none"/>
              </w:rPr>
              <w:t xml:space="preserve">(у разі якщо подано дві і більше тендерних пропозицій).</w:t>
            </w:r>
            <w:r>
              <w:rPr>
                <w:b/>
                <w:i/>
                <w:color w:val="auto"/>
                <w:highlight w:val="none"/>
              </w:rPr>
            </w:r>
            <w:r>
              <w:rPr>
                <w:b/>
                <w:i/>
                <w:color w:val="auto"/>
                <w:highlight w:val="none"/>
              </w:rPr>
            </w:r>
          </w:p>
          <w:p>
            <w:pPr>
              <w:pBdr/>
              <w:shd w:val="clear" w:color="auto" w:fill="ffffff"/>
              <w:spacing/>
              <w:ind/>
              <w:jc w:val="both"/>
              <w:rPr>
                <w:b/>
                <w:color w:val="auto"/>
                <w:highlight w:val="none"/>
              </w:rPr>
            </w:pPr>
            <w:r>
              <w:rPr>
                <w:color w:val="auto"/>
                <w:highlight w:val="none"/>
              </w:rPr>
              <w:t xml:space="preserve">Якщо була подана одна тендерна пропозиція, електронна система </w:t>
            </w:r>
            <w:r>
              <w:rPr>
                <w:color w:val="auto"/>
                <w:highlight w:val="none"/>
              </w:rPr>
              <w:t xml:space="preserve">закупівель</w:t>
            </w:r>
            <w:r>
              <w:rPr>
                <w:color w:val="auto"/>
                <w:highlight w:val="non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Pr>
                <w:color w:val="auto"/>
                <w:highlight w:val="none"/>
              </w:rPr>
              <w:t xml:space="preserve">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w:t>
            </w:r>
            <w:r>
              <w:rPr>
                <w:color w:val="auto"/>
                <w:highlight w:val="none"/>
              </w:rPr>
              <w:t xml:space="preserve">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w:t>
            </w:r>
            <w:r>
              <w:rPr>
                <w:color w:val="auto"/>
                <w:highlight w:val="none"/>
              </w:rPr>
              <w:t xml:space="preserve">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b/>
                <w:color w:val="auto"/>
                <w:highlight w:val="none"/>
              </w:rPr>
            </w:r>
            <w:r>
              <w:rPr>
                <w:b/>
                <w:color w:val="auto"/>
                <w:highlight w:val="none"/>
              </w:rPr>
            </w:r>
          </w:p>
          <w:p>
            <w:pPr>
              <w:pBdr/>
              <w:spacing/>
              <w:ind/>
              <w:jc w:val="both"/>
              <w:rPr>
                <w:b/>
                <w:i/>
                <w:color w:val="auto"/>
                <w:highlight w:val="none"/>
              </w:rPr>
            </w:pPr>
            <w:r>
              <w:rPr>
                <w:color w:val="auto"/>
                <w:highlight w:val="none"/>
              </w:rPr>
              <w:t xml:space="preserve">Строк розгляду тендерної пропозиції, що за результатами оцінки визначена найбільш економічно вигідною, не п</w:t>
            </w:r>
            <w:r>
              <w:rPr>
                <w:color w:val="auto"/>
                <w:highlight w:val="none"/>
              </w:rPr>
              <w:t xml:space="preserve">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Pr>
                <w:color w:val="auto"/>
                <w:highlight w:val="none"/>
              </w:rPr>
              <w:t xml:space="preserve">закупівель</w:t>
            </w:r>
            <w:r>
              <w:rPr>
                <w:color w:val="auto"/>
                <w:highlight w:val="none"/>
              </w:rPr>
              <w:t xml:space="preserve"> протягом одного дня з дня прийняття відповідного рішення.</w:t>
            </w:r>
            <w:r>
              <w:rPr>
                <w:b/>
                <w:i/>
                <w:color w:val="auto"/>
                <w:highlight w:val="none"/>
              </w:rPr>
            </w:r>
            <w:r>
              <w:rPr>
                <w:b/>
                <w:i/>
                <w:color w:val="auto"/>
                <w:highlight w:val="none"/>
              </w:rPr>
            </w:r>
          </w:p>
          <w:p>
            <w:pPr>
              <w:pBdr/>
              <w:spacing/>
              <w:ind/>
              <w:jc w:val="both"/>
              <w:rPr>
                <w:b/>
                <w:color w:val="auto"/>
                <w:highlight w:val="none"/>
              </w:rPr>
            </w:pPr>
            <w:r>
              <w:rPr>
                <w:i/>
                <w:color w:val="auto"/>
                <w:highlight w:val="non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b/>
                <w:color w:val="auto"/>
                <w:highlight w:val="none"/>
              </w:rPr>
            </w:r>
            <w:r>
              <w:rPr>
                <w:b/>
                <w:color w:val="auto"/>
                <w:highlight w:val="none"/>
              </w:rPr>
            </w:r>
          </w:p>
          <w:p>
            <w:pPr>
              <w:pBdr/>
              <w:spacing/>
              <w:ind/>
              <w:jc w:val="both"/>
              <w:rPr>
                <w:b/>
                <w:i/>
                <w:color w:val="auto"/>
                <w:highlight w:val="none"/>
              </w:rPr>
            </w:pPr>
            <w:r>
              <w:rPr>
                <w:i/>
                <w:color w:val="auto"/>
                <w:highlight w:val="none"/>
              </w:rPr>
              <w:t xml:space="preserve">До розгляду </w:t>
            </w:r>
            <w:r>
              <w:rPr>
                <w:i/>
                <w:color w:val="auto"/>
                <w:highlight w:val="none"/>
                <w:u w:val="single"/>
              </w:rPr>
              <w:t xml:space="preserve">* не приймається </w:t>
            </w:r>
            <w:r>
              <w:rPr>
                <w:i/>
                <w:color w:val="auto"/>
                <w:highlight w:val="non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b/>
                <w:i/>
                <w:color w:val="auto"/>
                <w:highlight w:val="none"/>
              </w:rPr>
            </w:r>
            <w:r>
              <w:rPr>
                <w:b/>
                <w:i/>
                <w:color w:val="auto"/>
                <w:highlight w:val="none"/>
              </w:rPr>
            </w:r>
          </w:p>
          <w:p>
            <w:pPr>
              <w:pBdr/>
              <w:spacing/>
              <w:ind/>
              <w:jc w:val="both"/>
              <w:rPr>
                <w:b/>
                <w:color w:val="auto"/>
                <w:highlight w:val="none"/>
              </w:rPr>
            </w:pPr>
            <w:r>
              <w:rPr>
                <w:color w:val="auto"/>
                <w:highlight w:val="none"/>
              </w:rPr>
              <w:t xml:space="preserve">Оцінка тендерних пропозицій здійснюється на основі критерію „Ціна”. Питома вага – 100 %.</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Найбільш економічно вигідною пропозицією буде вважатися пропозиція </w:t>
            </w:r>
            <w:r>
              <w:rPr>
                <w:color w:val="auto"/>
                <w:highlight w:val="none"/>
              </w:rPr>
              <w:t xml:space="preserve">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Оцінка здійснюється щодо предмета закупівлі в цілому.</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Учасник визначає ціни на роботи, що він пропонує виконати за договором про закупівлю, з урахуванням</w:t>
            </w:r>
            <w:r>
              <w:rPr>
                <w:color w:val="auto"/>
                <w:highlight w:val="none"/>
              </w:rPr>
              <w:t xml:space="preserve">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r>
              <w:rPr>
                <w:b/>
                <w:color w:val="auto"/>
                <w:highlight w:val="none"/>
              </w:rPr>
            </w:r>
            <w:r>
              <w:rPr>
                <w:b/>
                <w:color w:val="auto"/>
                <w:highlight w:val="none"/>
              </w:rPr>
            </w:r>
          </w:p>
          <w:p>
            <w:pPr>
              <w:pBdr/>
              <w:spacing/>
              <w:ind/>
              <w:jc w:val="both"/>
              <w:rPr>
                <w:color w:val="auto"/>
                <w:highlight w:val="none"/>
              </w:rPr>
            </w:pPr>
            <w:r>
              <w:rPr>
                <w:color w:val="auto"/>
                <w:highlight w:val="none"/>
              </w:rPr>
              <w:t xml:space="preserve">Розмір мінімального кроку пониження ціни під час електронного аукціону – 0,5 %.</w:t>
            </w:r>
            <w:r>
              <w:rPr>
                <w:color w:val="auto"/>
                <w:highlight w:val="none"/>
              </w:rPr>
            </w:r>
            <w:r>
              <w:rPr>
                <w:color w:val="auto"/>
                <w:highlight w:val="none"/>
              </w:rPr>
            </w:r>
          </w:p>
          <w:p>
            <w:pPr>
              <w:pBdr/>
              <w:shd w:val="clear" w:color="auto" w:fill="ffffff"/>
              <w:spacing/>
              <w:ind/>
              <w:jc w:val="both"/>
              <w:rPr>
                <w:b/>
                <w:color w:val="auto"/>
                <w:highlight w:val="none"/>
              </w:rPr>
            </w:pPr>
            <w:r>
              <w:rPr>
                <w:color w:val="auto"/>
                <w:highlight w:val="none"/>
              </w:rPr>
              <w:t xml:space="preserve">Учасник процедури закупівлі, який надав найбільш економічно</w:t>
            </w:r>
            <w:r>
              <w:rPr>
                <w:color w:val="auto"/>
                <w:highlight w:val="none"/>
              </w:rPr>
              <w:t xml:space="preserve">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w:t>
            </w:r>
            <w:r>
              <w:rPr>
                <w:color w:val="auto"/>
                <w:highlight w:val="none"/>
              </w:rPr>
              <w:t xml:space="preserve">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Pr>
                <w:color w:val="auto"/>
                <w:highlight w:val="none"/>
              </w:rPr>
              <w:t xml:space="preserve">закупівель</w:t>
            </w:r>
            <w:r>
              <w:rPr>
                <w:color w:val="auto"/>
                <w:highlight w:val="none"/>
              </w:rPr>
              <w:t xml:space="preserve"> автоматично за умови наявності не менше двох учасників, які подали свої тендерні пропозиції щодо предмета за</w:t>
            </w:r>
            <w:r>
              <w:rPr>
                <w:color w:val="auto"/>
                <w:highlight w:val="none"/>
              </w:rPr>
              <w:t xml:space="preserve">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b/>
                <w:color w:val="auto"/>
                <w:highlight w:val="none"/>
              </w:rPr>
            </w:r>
            <w:r>
              <w:rPr>
                <w:b/>
                <w:color w:val="auto"/>
                <w:highlight w:val="none"/>
              </w:rPr>
            </w:r>
          </w:p>
          <w:p>
            <w:pPr>
              <w:pBdr/>
              <w:shd w:val="clear" w:color="auto" w:fill="ffffff"/>
              <w:spacing/>
              <w:ind/>
              <w:jc w:val="both"/>
              <w:rPr>
                <w:b/>
                <w:color w:val="auto"/>
                <w:highlight w:val="none"/>
              </w:rPr>
            </w:pPr>
            <w:r>
              <w:rPr>
                <w:color w:val="auto"/>
                <w:highlight w:val="non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b/>
                <w:color w:val="auto"/>
                <w:highlight w:val="none"/>
              </w:rPr>
            </w:r>
            <w:r>
              <w:rPr>
                <w:b/>
                <w:color w:val="auto"/>
                <w:highlight w:val="none"/>
              </w:rPr>
            </w:r>
          </w:p>
          <w:p>
            <w:pPr>
              <w:keepNext w:val="true"/>
              <w:pBdr/>
              <w:shd w:val="clear" w:color="auto" w:fill="ffffff"/>
              <w:spacing/>
              <w:ind/>
              <w:jc w:val="both"/>
              <w:rPr>
                <w:b/>
                <w:color w:val="auto"/>
                <w:highlight w:val="none"/>
              </w:rPr>
            </w:pPr>
            <w:r>
              <w:rPr>
                <w:color w:val="auto"/>
                <w:highlight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w:t>
            </w:r>
            <w:r>
              <w:rPr>
                <w:color w:val="auto"/>
                <w:highlight w:val="none"/>
              </w:rPr>
              <w:t xml:space="preserve">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b/>
                <w:color w:val="auto"/>
                <w:highlight w:val="none"/>
              </w:rPr>
            </w:r>
            <w:r>
              <w:rPr>
                <w:b/>
                <w:color w:val="auto"/>
                <w:highlight w:val="none"/>
              </w:rPr>
            </w:r>
          </w:p>
          <w:p>
            <w:pPr>
              <w:keepNext w:val="true"/>
              <w:pBdr/>
              <w:shd w:val="clear" w:color="auto" w:fill="ffffff"/>
              <w:spacing/>
              <w:ind/>
              <w:jc w:val="both"/>
              <w:rPr>
                <w:b/>
                <w:color w:val="auto"/>
                <w:highlight w:val="none"/>
              </w:rPr>
            </w:pPr>
            <w:r>
              <w:rPr>
                <w:color w:val="auto"/>
                <w:highlight w: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w:t>
            </w:r>
            <w:r>
              <w:rPr>
                <w:color w:val="auto"/>
                <w:highlight w:val="none"/>
              </w:rPr>
              <w:t xml:space="preserve">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color w:val="auto"/>
                <w:highlight w:val="none"/>
              </w:rPr>
              <w:t xml:space="preserve">невідповідностей</w:t>
            </w:r>
            <w:r>
              <w:rPr>
                <w:color w:val="auto"/>
                <w:highlight w:val="none"/>
              </w:rPr>
              <w:t xml:space="preserve"> в електронній системі </w:t>
            </w:r>
            <w:r>
              <w:rPr>
                <w:color w:val="auto"/>
                <w:highlight w:val="none"/>
              </w:rPr>
              <w:t xml:space="preserve">закупівель</w:t>
            </w:r>
            <w:r>
              <w:rPr>
                <w:color w:val="auto"/>
                <w:highlight w:val="none"/>
              </w:rPr>
              <w:t xml:space="preserve">.</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Під невідповідністю в інформації та/або документах, що подані учасником процедури закупівлі у складі </w:t>
            </w:r>
            <w:r>
              <w:rPr>
                <w:color w:val="auto"/>
                <w:highlight w:val="none"/>
              </w:rPr>
              <w:t xml:space="preserve">тендерної пропозиції та/або подання яких вимагається тендерною документацією, розуміється у тому чис</w:t>
            </w:r>
            <w:r>
              <w:rPr>
                <w:color w:val="auto"/>
                <w:highlight w:val="none"/>
              </w:rPr>
              <w:t xml:space="preserve">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w:t>
            </w:r>
            <w:r>
              <w:rPr>
                <w:color w:val="auto"/>
                <w:highlight w:val="none"/>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color w:val="auto"/>
                <w:highlight w:val="none"/>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b/>
                <w:color w:val="auto"/>
                <w:highlight w:val="none"/>
              </w:rPr>
            </w:r>
            <w:r>
              <w:rPr>
                <w:b/>
                <w:color w:val="auto"/>
                <w:highlight w:val="none"/>
              </w:rPr>
            </w:r>
          </w:p>
          <w:p>
            <w:pPr>
              <w:pBdr/>
              <w:spacing/>
              <w:ind/>
              <w:jc w:val="both"/>
              <w:rPr>
                <w:b/>
                <w:strike/>
                <w:color w:val="auto"/>
                <w:highlight w:val="none"/>
              </w:rPr>
            </w:pPr>
            <w:r>
              <w:rPr>
                <w:color w:val="auto"/>
                <w:highlight w: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Pr>
                <w:color w:val="auto"/>
                <w:highlight w:val="none"/>
              </w:rPr>
              <w:t xml:space="preserve">невідповідностей</w:t>
            </w:r>
            <w:r>
              <w:rPr>
                <w:color w:val="auto"/>
                <w:highlight w: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b/>
                <w:strike/>
                <w:color w:val="auto"/>
                <w:highlight w:val="none"/>
              </w:rPr>
            </w:r>
            <w:r>
              <w:rPr>
                <w:b/>
                <w:strike/>
                <w:color w:val="auto"/>
                <w:highlight w:val="none"/>
              </w:rPr>
            </w:r>
          </w:p>
          <w:p>
            <w:pPr>
              <w:pBdr/>
              <w:spacing/>
              <w:ind/>
              <w:jc w:val="both"/>
              <w:rPr>
                <w:b/>
                <w:color w:val="auto"/>
                <w:highlight w:val="none"/>
              </w:rPr>
            </w:pPr>
            <w:r>
              <w:rPr>
                <w:color w:val="auto"/>
                <w:highlight w: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Pr>
                <w:color w:val="auto"/>
                <w:highlight w:val="none"/>
              </w:rPr>
              <w:t xml:space="preserve">закупівель</w:t>
            </w:r>
            <w:r>
              <w:rPr>
                <w:color w:val="auto"/>
                <w:highlight w:val="none"/>
              </w:rPr>
              <w:t xml:space="preserve"> уточнених або нових документів в електронній системі </w:t>
            </w:r>
            <w:r>
              <w:rPr>
                <w:color w:val="auto"/>
                <w:highlight w:val="none"/>
              </w:rPr>
              <w:t xml:space="preserve">закупівель</w:t>
            </w:r>
            <w:r>
              <w:rPr>
                <w:color w:val="auto"/>
                <w:highlight w:val="none"/>
              </w:rPr>
              <w:t xml:space="preserve"> </w:t>
            </w:r>
            <w:r>
              <w:rPr>
                <w:i/>
                <w:color w:val="auto"/>
                <w:highlight w:val="none"/>
              </w:rPr>
              <w:t xml:space="preserve">протягом 24 годин</w:t>
            </w:r>
            <w:r>
              <w:rPr>
                <w:color w:val="auto"/>
                <w:highlight w:val="none"/>
              </w:rPr>
              <w:t xml:space="preserve"> з моменту розміщення замовником в електронній системі </w:t>
            </w:r>
            <w:r>
              <w:rPr>
                <w:color w:val="auto"/>
                <w:highlight w:val="none"/>
              </w:rPr>
              <w:t xml:space="preserve">закупівель</w:t>
            </w:r>
            <w:r>
              <w:rPr>
                <w:color w:val="auto"/>
                <w:highlight w:val="none"/>
              </w:rPr>
              <w:t xml:space="preserve"> повідомлення з вимогою про усунення таких </w:t>
            </w:r>
            <w:r>
              <w:rPr>
                <w:color w:val="auto"/>
                <w:highlight w:val="none"/>
              </w:rPr>
              <w:t xml:space="preserve">невідповідностей</w:t>
            </w:r>
            <w:r>
              <w:rPr>
                <w:color w:val="auto"/>
                <w:highlight w:val="none"/>
              </w:rPr>
              <w:t xml:space="preserve">. Замовник розглядає подані тендерні пропозиції з урахуванням виправлення або </w:t>
            </w:r>
            <w:r>
              <w:rPr>
                <w:color w:val="auto"/>
                <w:highlight w:val="none"/>
              </w:rPr>
              <w:t xml:space="preserve">невиправлення</w:t>
            </w:r>
            <w:r>
              <w:rPr>
                <w:color w:val="auto"/>
                <w:highlight w:val="none"/>
              </w:rPr>
              <w:t xml:space="preserve"> учасниками виявлених </w:t>
            </w:r>
            <w:r>
              <w:rPr>
                <w:color w:val="auto"/>
                <w:highlight w:val="none"/>
              </w:rPr>
              <w:t xml:space="preserve">невідповідностей</w:t>
            </w:r>
            <w:r>
              <w:rPr>
                <w:color w:val="auto"/>
                <w:highlight w:val="none"/>
              </w:rPr>
              <w:t xml:space="preserve">.</w:t>
            </w:r>
            <w:r>
              <w:rPr>
                <w:b/>
                <w:color w:val="auto"/>
                <w:highlight w:val="none"/>
              </w:rPr>
            </w:r>
            <w:r>
              <w:rPr>
                <w:b/>
                <w:color w:val="auto"/>
                <w:highlight w:val="none"/>
              </w:rPr>
            </w:r>
          </w:p>
          <w:p>
            <w:pPr>
              <w:pBdr/>
              <w:spacing/>
              <w:ind/>
              <w:jc w:val="both"/>
              <w:rPr>
                <w:b/>
                <w:color w:val="auto"/>
                <w:highlight w:val="none"/>
              </w:rPr>
            </w:pPr>
            <w:r>
              <w:rPr>
                <w:color w:val="auto"/>
                <w:highlight w:val="none"/>
              </w:rPr>
              <w:t xml:space="preserve">У разі відхилення тендерної пропо</w:t>
            </w:r>
            <w:r>
              <w:rPr>
                <w:color w:val="auto"/>
                <w:highlight w:val="none"/>
              </w:rPr>
              <w:t xml:space="preserve">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w:t>
            </w:r>
            <w:r>
              <w:rPr>
                <w:color w:val="auto"/>
                <w:highlight w:val="none"/>
              </w:rPr>
              <w:t xml:space="preserve">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b/>
                <w:color w:val="auto"/>
                <w:highlight w:val="none"/>
              </w:rPr>
            </w:r>
            <w:r>
              <w:rPr>
                <w:b/>
                <w:color w:val="auto"/>
                <w:highlight w:val="none"/>
              </w:rPr>
            </w:r>
          </w:p>
          <w:p>
            <w:pPr>
              <w:widowControl w:val="false"/>
              <w:pBdr/>
              <w:spacing/>
              <w:ind/>
              <w:jc w:val="both"/>
              <w:rPr>
                <w:color w:val="auto"/>
                <w:highlight w:val="none"/>
              </w:rPr>
            </w:pPr>
            <w:r>
              <w:rPr>
                <w:color w:val="auto"/>
                <w:highlight w:val="none"/>
              </w:rPr>
              <w:t xml:space="preserve">У разі відхилення тендерної пропо</w:t>
            </w:r>
            <w:r>
              <w:rPr>
                <w:color w:val="auto"/>
                <w:highlight w:val="none"/>
              </w:rPr>
              <w:t xml:space="preserve">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Pr>
                <w:color w:val="auto"/>
                <w:highlight w:val="none"/>
              </w:rPr>
              <w:t xml:space="preserve">економічно вигідною, у порядку та строки, визначені Особливостями.</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Інша інформація</w:t>
            </w:r>
            <w:r>
              <w:rPr>
                <w:b/>
                <w:color w:val="auto"/>
                <w:highlight w:val="none"/>
              </w:rPr>
            </w:r>
            <w:r>
              <w:rPr>
                <w:b/>
                <w:color w:val="auto"/>
                <w:highlight w:val="none"/>
              </w:rPr>
            </w:r>
          </w:p>
        </w:tc>
        <w:tc>
          <w:tcPr>
            <w:shd w:val="clear" w:color="auto" w:fill="auto"/>
            <w:tcBorders/>
            <w:tcW w:w="5817" w:type="dxa"/>
            <w:textDirection w:val="lrTb"/>
            <w:noWrap w:val="false"/>
          </w:tcPr>
          <w:p>
            <w:pPr>
              <w:pBdr/>
              <w:spacing/>
              <w:ind/>
              <w:jc w:val="both"/>
              <w:rPr>
                <w:color w:val="auto"/>
                <w:highlight w:val="none"/>
              </w:rPr>
            </w:pPr>
            <w:r>
              <w:rPr>
                <w:color w:val="auto"/>
                <w:highlight w:val="none"/>
              </w:rPr>
              <w:t xml:space="preserve">Учасник бере на себе всі витрати, пов’язані з підготовкою та подачею своєї тендерної пропозиці</w:t>
            </w:r>
            <w:r>
              <w:rPr>
                <w:color w:val="auto"/>
                <w:highlight w:val="none"/>
              </w:rPr>
              <w:t xml:space="preserve">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w:t>
            </w:r>
            <w:r>
              <w:rPr>
                <w:color w:val="auto"/>
                <w:highlight w:val="none"/>
              </w:rPr>
              <w:t xml:space="preserve">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Відповідно до статті 2 Закону України «Про захис</w:t>
            </w:r>
            <w:r>
              <w:rPr>
                <w:color w:val="auto"/>
                <w:highlight w:val="none"/>
              </w:rPr>
              <w:t xml:space="preserve">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w:t>
            </w:r>
            <w:r>
              <w:rPr>
                <w:color w:val="auto"/>
                <w:highlight w:val="none"/>
              </w:rPr>
              <w:t xml:space="preserve">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w:t>
            </w:r>
            <w:r>
              <w:rPr>
                <w:color w:val="auto"/>
                <w:highlight w:val="none"/>
              </w:rPr>
              <w:t xml:space="preserve">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w:t>
            </w:r>
            <w:r>
              <w:rPr>
                <w:color w:val="auto"/>
                <w:highlight w:val="none"/>
              </w:rPr>
              <w:t xml:space="preserve">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Учасники при поданні тендерної пропозиції повинні враховувати норми (врахуванням вважається факт подання гарантійного листа в складі тендерної пропозиції, що учасник ознайомлений з даним нормами і їх не порушує):</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постанови Кабінету Міністрів України «Про забезпечення захисту національних інтересів за майбутніми позовами держави Україна у зв’я</w:t>
            </w:r>
            <w:r>
              <w:rPr>
                <w:color w:val="auto"/>
                <w:highlight w:val="none"/>
              </w:rPr>
              <w:t xml:space="preserve">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   </w:t>
            </w:r>
            <w:r>
              <w:rPr>
                <w:color w:val="auto"/>
                <w:highlight w:val="none"/>
              </w:rPr>
              <w:tab/>
              <w:t xml:space="preserve">Закону України «Про забезпечення прав і свобод громадян та правовий режим на тимчасово окупованій території України» від 15.04.2014 № 1207-VII.</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w:t>
            </w:r>
            <w:r>
              <w:rPr>
                <w:color w:val="auto"/>
                <w:highlight w:val="none"/>
              </w:rPr>
              <w:t xml:space="preserve">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r>
              <w:rPr>
                <w:color w:val="auto"/>
                <w:highlight w:val="none"/>
              </w:rPr>
              <w:t xml:space="preserve">бенефіціарним</w:t>
            </w:r>
            <w:r>
              <w:rPr>
                <w:color w:val="auto"/>
                <w:highlight w:val="none"/>
              </w:rPr>
              <w:t xml:space="preserve"> власником, членом або учасником (акціонером), що має частку в статутному капіталі 10 і більше відсотків (</w:t>
            </w:r>
            <w:r>
              <w:rPr>
                <w:color w:val="auto"/>
                <w:highlight w:val="none"/>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w:t>
            </w:r>
            <w:r>
              <w:rPr>
                <w:color w:val="auto"/>
                <w:highlight w:val="none"/>
              </w:rPr>
              <w:t xml:space="preserve">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Замовникам забороняється здійснювати публічні закупівлі товарів походженням з Російсь</w:t>
            </w:r>
            <w:r>
              <w:rPr>
                <w:color w:val="auto"/>
                <w:highlight w:val="none"/>
              </w:rPr>
              <w:t xml:space="preserve">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color w:val="auto"/>
                <w:highlight w:val="none"/>
              </w:rPr>
              <w:t xml:space="preserve">закупівель</w:t>
            </w:r>
            <w:r>
              <w:rPr>
                <w:color w:val="auto"/>
                <w:highlight w:val="none"/>
              </w:rPr>
              <w:t xml:space="preserve"> товарі</w:t>
            </w:r>
            <w:r>
              <w:rPr>
                <w:color w:val="auto"/>
                <w:highlight w:val="none"/>
              </w:rPr>
              <w:t xml:space="preserve">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Учасник письмово підтверджує, що у попередніх відносинах між  Учасником та Замовником таку </w:t>
            </w:r>
            <w:r>
              <w:rPr>
                <w:color w:val="auto"/>
                <w:highlight w:val="none"/>
              </w:rPr>
              <w:t xml:space="preserve">оперативно</w:t>
            </w:r>
            <w:r>
              <w:rPr>
                <w:color w:val="auto"/>
                <w:highlight w:val="none"/>
              </w:rPr>
              <w:t xml:space="preserve">-господарську/і санкцію/ї, передбачену/і пунктом 4 частини 1 статті 236 ГКУ, як відмова від </w:t>
            </w:r>
            <w:r>
              <w:rPr>
                <w:color w:val="auto"/>
                <w:highlight w:val="none"/>
              </w:rPr>
              <w:t xml:space="preserve">встановлення господарських відносин на майбутнє, не було застосовано.</w:t>
            </w:r>
            <w:r>
              <w:rPr>
                <w:color w:val="auto"/>
                <w:highlight w:val="none"/>
              </w:rPr>
            </w:r>
            <w:r>
              <w:rPr>
                <w:color w:val="auto"/>
                <w:highlight w:val="none"/>
              </w:rPr>
            </w:r>
          </w:p>
          <w:p>
            <w:pPr>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256" w:lineRule="auto"/>
              <w:ind/>
              <w:jc w:val="both"/>
              <w:rPr>
                <w:color w:val="auto"/>
                <w:highlight w:val="none"/>
              </w:rPr>
            </w:pPr>
            <w:r>
              <w:rPr>
                <w:color w:val="auto"/>
                <w:highlight w:val="none"/>
              </w:rPr>
              <w:t xml:space="preserve">Згідно з Наказом </w:t>
            </w:r>
            <w:r>
              <w:rPr>
                <w:color w:val="auto"/>
                <w:highlight w:val="none"/>
              </w:rPr>
              <w:t xml:space="preserve">Мінекономрозвитку</w:t>
            </w:r>
            <w:r>
              <w:rPr>
                <w:color w:val="auto"/>
                <w:highlight w:val="none"/>
              </w:rPr>
              <w:t xml:space="preserve"> України № 473  від 18.03.2016  року «Про визначення веб-порталу Уповноваженого органу з питань </w:t>
            </w:r>
            <w:r>
              <w:rPr>
                <w:color w:val="auto"/>
                <w:highlight w:val="none"/>
              </w:rPr>
              <w:t xml:space="preserve">закупівель</w:t>
            </w:r>
            <w:r>
              <w:rPr>
                <w:color w:val="auto"/>
                <w:highlight w:val="none"/>
              </w:rPr>
              <w:t xml:space="preserve"> у складі електронної системи </w:t>
            </w:r>
            <w:r>
              <w:rPr>
                <w:color w:val="auto"/>
                <w:highlight w:val="none"/>
              </w:rPr>
              <w:t xml:space="preserve">закупівель</w:t>
            </w:r>
            <w:r>
              <w:rPr>
                <w:color w:val="auto"/>
                <w:highlight w:val="none"/>
              </w:rPr>
              <w:t xml:space="preserve"> та забезпечення його функціонування» Веб-порталом Уповноваженого органу з питань </w:t>
            </w:r>
            <w:r>
              <w:rPr>
                <w:color w:val="auto"/>
                <w:highlight w:val="none"/>
              </w:rPr>
              <w:t xml:space="preserve">закупівель</w:t>
            </w:r>
            <w:r>
              <w:rPr>
                <w:color w:val="auto"/>
                <w:highlight w:val="none"/>
              </w:rPr>
              <w:t xml:space="preserve"> у складі електронної системи </w:t>
            </w:r>
            <w:r>
              <w:rPr>
                <w:color w:val="auto"/>
                <w:highlight w:val="none"/>
              </w:rPr>
              <w:t xml:space="preserve">закупівель</w:t>
            </w:r>
            <w:r>
              <w:rPr>
                <w:color w:val="auto"/>
                <w:highlight w:val="none"/>
              </w:rPr>
              <w:t xml:space="preserve">, визначеної пунктом 6 частини першої статті 1 Закону України «Про публічні закупівлі визначено інформаційно-телекомунікаційну систему «</w:t>
            </w:r>
            <w:r>
              <w:rPr>
                <w:color w:val="auto"/>
                <w:highlight w:val="none"/>
              </w:rPr>
              <w:t xml:space="preserve">Prozorro</w:t>
            </w:r>
            <w:r>
              <w:rPr>
                <w:color w:val="auto"/>
                <w:highlight w:val="none"/>
              </w:rPr>
              <w:t xml:space="preserve">» за </w:t>
            </w:r>
            <w:r>
              <w:rPr>
                <w:color w:val="auto"/>
                <w:highlight w:val="none"/>
              </w:rPr>
              <w:t xml:space="preserve">адресою</w:t>
            </w:r>
            <w:r>
              <w:rPr>
                <w:color w:val="auto"/>
                <w:highlight w:val="none"/>
              </w:rPr>
              <w:t xml:space="preserve"> в мережі Інтернет: </w:t>
            </w:r>
            <w:hyperlink r:id="rId31" w:tooltip="http://www.prozorro.gov.ua" w:history="1">
              <w:r>
                <w:rPr>
                  <w:rStyle w:val="905"/>
                  <w:color w:val="auto"/>
                  <w:highlight w:val="none"/>
                </w:rPr>
                <w:t xml:space="preserve">www.prozorro.gov.ua</w:t>
              </w:r>
            </w:hyperlink>
            <w:r>
              <w:rPr>
                <w:color w:val="auto"/>
                <w:highlight w:val="none"/>
              </w:rPr>
              <w:t xml:space="preserve">.</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Відхилення тендерних пропозицій</w:t>
            </w:r>
            <w:r>
              <w:rPr>
                <w:b/>
                <w:color w:val="auto"/>
                <w:highlight w:val="none"/>
              </w:rPr>
            </w:r>
            <w:r>
              <w:rPr>
                <w:b/>
                <w:color w:val="auto"/>
                <w:highlight w:val="none"/>
              </w:rPr>
            </w:r>
          </w:p>
        </w:tc>
        <w:tc>
          <w:tcPr>
            <w:shd w:val="clear" w:color="auto" w:fill="auto"/>
            <w:tcBorders/>
            <w:tcW w:w="5817"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b/>
                <w:color w:val="auto"/>
                <w:highlight w:val="none"/>
              </w:rPr>
              <w:t xml:space="preserve">Замовник відхиляє тендерну пропозицію із зазначенням аргументації в електронній системі </w:t>
            </w:r>
            <w:r>
              <w:rPr>
                <w:b/>
                <w:color w:val="auto"/>
                <w:highlight w:val="none"/>
              </w:rPr>
              <w:t xml:space="preserve">закупівель</w:t>
            </w:r>
            <w:r>
              <w:rPr>
                <w:b/>
                <w:color w:val="auto"/>
                <w:highlight w:val="none"/>
              </w:rPr>
              <w:t xml:space="preserve"> у разі, коли:</w:t>
            </w:r>
            <w:bookmarkStart w:id="20" w:name="1y810tw"/>
            <w:r>
              <w:rPr>
                <w:color w:val="auto"/>
                <w:highlight w:val="none"/>
              </w:rPr>
            </w:r>
            <w:bookmarkEnd w:id="20"/>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b/>
                <w:color w:val="auto"/>
                <w:highlight w:val="none"/>
              </w:rPr>
              <w:t xml:space="preserve">1) учасник процедури закупівлі:</w:t>
            </w:r>
            <w:bookmarkStart w:id="21" w:name="4i7ojhp"/>
            <w:r>
              <w:rPr>
                <w:color w:val="auto"/>
                <w:highlight w:val="none"/>
              </w:rPr>
            </w:r>
            <w:bookmarkEnd w:id="21"/>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підпадає під підстави, встановлені пунктом 47 Особливостей;</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2" w:name="2xcytpi"/>
            <w:r>
              <w:rPr>
                <w:color w:val="auto"/>
                <w:highlight w:val="none"/>
              </w:rPr>
            </w:r>
            <w:bookmarkEnd w:id="22"/>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3" w:name="1ci93xb"/>
            <w:r>
              <w:rPr>
                <w:color w:val="auto"/>
                <w:highlight w:val="none"/>
              </w:rPr>
            </w:r>
            <w:bookmarkEnd w:id="23"/>
            <w:r>
              <w:rPr>
                <w:color w:val="auto"/>
                <w:highlight w:val="none"/>
              </w:rPr>
              <w:t xml:space="preserve">не надав забезпечення тендерної пропозиції, якщо таке забезпечення вимагалося замовником;</w:t>
            </w:r>
            <w:bookmarkStart w:id="24" w:name="3whwml4"/>
            <w:r>
              <w:rPr>
                <w:color w:val="auto"/>
                <w:highlight w:val="none"/>
              </w:rPr>
            </w:r>
            <w:bookmarkEnd w:id="24"/>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5" w:name="2bn6wsx"/>
            <w:r>
              <w:rPr>
                <w:color w:val="auto"/>
                <w:highlight w:val="none"/>
              </w:rPr>
            </w:r>
            <w:bookmarkEnd w:id="25"/>
            <w:r>
              <w:rPr>
                <w:color w:val="auto"/>
                <w:highlight w:val="none"/>
              </w:rPr>
              <w:t xml:space="preserve">не виправив виявлені замо</w:t>
            </w:r>
            <w:r>
              <w:rPr>
                <w:color w:val="auto"/>
                <w:highlight w:val="none"/>
              </w:rPr>
              <w:t xml:space="preserve">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color w:val="auto"/>
                <w:highlight w:val="none"/>
              </w:rPr>
              <w:t xml:space="preserve">невідповідностей</w:t>
            </w:r>
            <w:r>
              <w:rPr>
                <w:color w:val="auto"/>
                <w:highlight w:val="none"/>
              </w:rPr>
              <w:t xml:space="preserve">, протягом 24 годин з моменту розміщення замовником в електронній системі </w:t>
            </w:r>
            <w:r>
              <w:rPr>
                <w:color w:val="auto"/>
                <w:highlight w:val="none"/>
              </w:rPr>
              <w:t xml:space="preserve">закупівель</w:t>
            </w:r>
            <w:r>
              <w:rPr>
                <w:color w:val="auto"/>
                <w:highlight w:val="none"/>
              </w:rPr>
              <w:t xml:space="preserve"> повідомлення з вимогою про усунення таких </w:t>
            </w:r>
            <w:r>
              <w:rPr>
                <w:color w:val="auto"/>
                <w:highlight w:val="none"/>
              </w:rPr>
              <w:t xml:space="preserve">невідповідностей</w:t>
            </w:r>
            <w:r>
              <w:rPr>
                <w:color w:val="auto"/>
                <w:highlight w:val="none"/>
              </w:rPr>
              <w:t xml:space="preserve">;</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6" w:name="qsh70q"/>
            <w:r>
              <w:rPr>
                <w:color w:val="auto"/>
                <w:highlight w:val="none"/>
              </w:rPr>
            </w:r>
            <w:bookmarkEnd w:id="26"/>
            <w:r>
              <w:rPr>
                <w:color w:val="auto"/>
                <w:highlight w:val="non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7" w:name="3as4poj"/>
            <w:r>
              <w:rPr>
                <w:color w:val="auto"/>
                <w:highlight w:val="none"/>
              </w:rPr>
            </w:r>
            <w:bookmarkEnd w:id="27"/>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28" w:name="1pxezwc"/>
            <w:r>
              <w:rPr>
                <w:color w:val="auto"/>
                <w:highlight w:val="none"/>
              </w:rPr>
            </w:r>
            <w:bookmarkEnd w:id="28"/>
            <w:r>
              <w:rPr>
                <w:color w:val="auto"/>
                <w:highlight w:val="none"/>
              </w:rPr>
              <w:t xml:space="preserve">визначив конфіденційною інформацію, що не може бути визначена як конфіденційна відповідно до вимог  пункту 40 Особливостей;</w:t>
            </w:r>
            <w:bookmarkStart w:id="29" w:name="49x2ik5"/>
            <w:r>
              <w:rPr>
                <w:color w:val="auto"/>
                <w:highlight w:val="none"/>
              </w:rPr>
            </w:r>
            <w:bookmarkEnd w:id="29"/>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0" w:name="2p2csry"/>
            <w:r>
              <w:rPr>
                <w:color w:val="auto"/>
                <w:highlight w:val="none"/>
              </w:rPr>
            </w:r>
            <w:bookmarkEnd w:id="30"/>
            <w:r>
              <w:rPr>
                <w:color w:val="auto"/>
                <w:highlight w:val="none"/>
              </w:rPr>
              <w:t xml:space="preserve">є громадянином Російської Федерації/Республіки Білорусь (крім того, що прожив</w:t>
            </w:r>
            <w:r>
              <w:rPr>
                <w:color w:val="auto"/>
                <w:highlight w:val="none"/>
              </w:rPr>
              <w:t xml:space="preserve">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color w:val="auto"/>
                <w:highlight w:val="none"/>
              </w:rPr>
              <w:t xml:space="preserve">бенефіціарним</w:t>
            </w:r>
            <w:r>
              <w:rPr>
                <w:color w:val="auto"/>
                <w:highlight w:val="none"/>
              </w:rPr>
              <w:t xml:space="preserve"> власником, членом або </w:t>
            </w:r>
            <w:r>
              <w:rPr>
                <w:color w:val="auto"/>
                <w:highlight w:val="none"/>
              </w:rPr>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Pr>
                <w:color w:val="auto"/>
                <w:highlight w:val="none"/>
              </w:rPr>
              <w:t xml:space="preserve">підставах), або юридичною особою, утвореною та зареєстрованою відповідно до законодавства Російської Федерації/Республіки Білорусь, </w:t>
            </w:r>
            <w:r>
              <w:rPr>
                <w:color w:val="auto"/>
                <w:highlight w:val="non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auto"/>
                <w:highlight w:val="none"/>
              </w:rPr>
              <w:t xml:space="preserve">; або п</w:t>
            </w:r>
            <w:r>
              <w:rPr>
                <w:color w:val="auto"/>
                <w:highlight w:val="none"/>
              </w:rPr>
              <w:t xml:space="preserve">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tooltip="https://zakon.rada.gov.ua/laws/show/1178-2022-%D0%BF#n2" w:anchor="n2" w:history="1">
              <w:r>
                <w:rPr>
                  <w:color w:val="auto"/>
                  <w:highlight w:val="none"/>
                  <w:u w:val="single"/>
                </w:rPr>
                <w:t xml:space="preserve">№ 1178</w:t>
              </w:r>
            </w:hyperlink>
            <w:r>
              <w:rPr>
                <w:color w:val="auto"/>
                <w:highlight w:val="none"/>
              </w:rPr>
              <w:t xml:space="preserve"> “Про затвердження особливостей здійснення публічних </w:t>
            </w:r>
            <w:r>
              <w:rPr>
                <w:color w:val="auto"/>
                <w:highlight w:val="none"/>
              </w:rPr>
              <w:t xml:space="preserve">закупівель</w:t>
            </w:r>
            <w:r>
              <w:rPr>
                <w:color w:val="auto"/>
                <w:highlight w:val="none"/>
              </w:rPr>
              <w:t xml:space="preserve"> товар</w:t>
            </w:r>
            <w:r>
              <w:rPr>
                <w:color w:val="auto"/>
                <w:highlight w:val="none"/>
              </w:rPr>
              <w:t xml:space="preserve">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1" w:name="147n2zr"/>
            <w:r>
              <w:rPr>
                <w:color w:val="auto"/>
                <w:highlight w:val="none"/>
              </w:rPr>
            </w:r>
            <w:bookmarkEnd w:id="31"/>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32" w:name="3o7alnk"/>
            <w:r>
              <w:rPr>
                <w:color w:val="auto"/>
                <w:highlight w:val="none"/>
              </w:rPr>
            </w:r>
            <w:bookmarkEnd w:id="32"/>
            <w:r>
              <w:rPr>
                <w:b/>
                <w:color w:val="auto"/>
                <w:highlight w:val="none"/>
              </w:rPr>
              <w:t xml:space="preserve">2) тендерна пропозиція:</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3" w:name="23ckvvd"/>
            <w:r>
              <w:rPr>
                <w:color w:val="auto"/>
                <w:highlight w:val="none"/>
              </w:rPr>
            </w:r>
            <w:bookmarkEnd w:id="33"/>
            <w:r>
              <w:rPr>
                <w:color w:val="auto"/>
                <w:highlight w:val="non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bookmarkStart w:id="34" w:name="ihv636"/>
            <w:r>
              <w:rPr>
                <w:color w:val="auto"/>
                <w:highlight w:val="none"/>
              </w:rPr>
            </w:r>
            <w:bookmarkEnd w:id="34"/>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5" w:name="32hioqz"/>
            <w:r>
              <w:rPr>
                <w:color w:val="auto"/>
                <w:highlight w:val="none"/>
              </w:rPr>
            </w:r>
            <w:bookmarkEnd w:id="35"/>
            <w:r>
              <w:rPr>
                <w:color w:val="auto"/>
                <w:highlight w:val="none"/>
              </w:rPr>
              <w:t xml:space="preserve">є такою, строк дії якої закінчився;</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6" w:name="1hmsyys"/>
            <w:r>
              <w:rPr>
                <w:color w:val="auto"/>
                <w:highlight w:val="none"/>
              </w:rPr>
            </w:r>
            <w:bookmarkEnd w:id="36"/>
            <w:r>
              <w:rPr>
                <w:color w:val="auto"/>
                <w:highlight w:val="non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color w:val="auto"/>
                <w:highlight w:val="none"/>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7" w:name="41mghml"/>
            <w:r>
              <w:rPr>
                <w:color w:val="auto"/>
                <w:highlight w:val="none"/>
              </w:rPr>
            </w:r>
            <w:bookmarkEnd w:id="37"/>
            <w:r>
              <w:rPr>
                <w:color w:val="auto"/>
                <w:highlight w:val="none"/>
              </w:rPr>
              <w:t xml:space="preserve">не відповідає вимогам, установленим у тендерній документації відповідно до </w:t>
            </w:r>
            <w:hyperlink r:id="rId33" w:tooltip="https://zakon.rada.gov.ua/laws/show/922-19#n1422" w:anchor="n1422" w:history="1">
              <w:r>
                <w:rPr>
                  <w:color w:val="auto"/>
                  <w:highlight w:val="none"/>
                  <w:u w:val="single"/>
                </w:rPr>
                <w:t xml:space="preserve">абзацу першого</w:t>
              </w:r>
            </w:hyperlink>
            <w:r>
              <w:rPr>
                <w:color w:val="auto"/>
                <w:highlight w:val="none"/>
              </w:rPr>
              <w:t xml:space="preserve"> частини третьої статті 22 Закону;</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38" w:name="2grqrue"/>
            <w:r>
              <w:rPr>
                <w:color w:val="auto"/>
                <w:highlight w:val="none"/>
              </w:rPr>
            </w:r>
            <w:bookmarkEnd w:id="38"/>
            <w:r>
              <w:rPr>
                <w:b/>
                <w:color w:val="auto"/>
                <w:highlight w:val="none"/>
              </w:rPr>
              <w:t xml:space="preserve">3) переможець процедури закупівлі:</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39" w:name="vx1227"/>
            <w:r>
              <w:rPr>
                <w:color w:val="auto"/>
                <w:highlight w:val="none"/>
              </w:rPr>
            </w:r>
            <w:bookmarkEnd w:id="39"/>
            <w:r>
              <w:rPr>
                <w:color w:val="auto"/>
                <w:highlight w:val="none"/>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0" w:name="3fwokq0"/>
            <w:r>
              <w:rPr>
                <w:color w:val="auto"/>
                <w:highlight w:val="none"/>
              </w:rPr>
            </w:r>
            <w:bookmarkEnd w:id="40"/>
            <w:r>
              <w:rPr>
                <w:color w:val="auto"/>
                <w:highlight w:val="none"/>
              </w:rPr>
              <w:t xml:space="preserve">не надав у спосіб, зазначений в тендерній документації, документи, що підтверджують відсутність підстав, визначених </w:t>
            </w:r>
            <w:r>
              <w:rPr>
                <w:color w:val="auto"/>
                <w:highlight w:val="none"/>
              </w:rPr>
              <w:t xml:space="preserve">у </w:t>
            </w:r>
            <w:hyperlink r:id="rId34" w:tooltip="https://zakon.rada.gov.ua/laws/show/1178-2022-%D0%BF#n618" w:anchor="n618" w:history="1">
              <w:r>
                <w:rPr>
                  <w:color w:val="auto"/>
                  <w:highlight w:val="none"/>
                  <w:u w:val="single"/>
                </w:rPr>
                <w:t xml:space="preserve">підпунктах 3</w:t>
              </w:r>
            </w:hyperlink>
            <w:r>
              <w:rPr>
                <w:color w:val="auto"/>
                <w:highlight w:val="none"/>
              </w:rPr>
              <w:t xml:space="preserve">, </w:t>
            </w:r>
            <w:hyperlink r:id="rId35" w:tooltip="https://zakon.rada.gov.ua/laws/show/1178-2022-%D0%BF#n620" w:anchor="n620" w:history="1">
              <w:r>
                <w:rPr>
                  <w:color w:val="auto"/>
                  <w:highlight w:val="none"/>
                  <w:u w:val="single"/>
                </w:rPr>
                <w:t xml:space="preserve">5</w:t>
              </w:r>
            </w:hyperlink>
            <w:r>
              <w:rPr>
                <w:color w:val="auto"/>
                <w:highlight w:val="none"/>
              </w:rPr>
              <w:t xml:space="preserve">, </w:t>
            </w:r>
            <w:hyperlink r:id="rId36" w:tooltip="https://zakon.rada.gov.ua/laws/show/1178-2022-%D0%BF#n621" w:anchor="n621" w:history="1">
              <w:r>
                <w:rPr>
                  <w:color w:val="auto"/>
                  <w:highlight w:val="none"/>
                  <w:u w:val="single"/>
                </w:rPr>
                <w:t xml:space="preserve">6</w:t>
              </w:r>
            </w:hyperlink>
            <w:r>
              <w:rPr>
                <w:color w:val="auto"/>
                <w:highlight w:val="none"/>
              </w:rPr>
              <w:t xml:space="preserve"> і </w:t>
            </w:r>
            <w:hyperlink r:id="rId37" w:tooltip="https://zakon.rada.gov.ua/laws/show/1178-2022-%D0%BF#n627" w:anchor="n627" w:history="1">
              <w:r>
                <w:rPr>
                  <w:color w:val="auto"/>
                  <w:highlight w:val="none"/>
                  <w:u w:val="single"/>
                </w:rPr>
                <w:t xml:space="preserve">12</w:t>
              </w:r>
            </w:hyperlink>
            <w:r>
              <w:rPr>
                <w:color w:val="auto"/>
                <w:highlight w:val="none"/>
              </w:rPr>
              <w:t xml:space="preserve"> та в </w:t>
            </w:r>
            <w:hyperlink r:id="rId38" w:tooltip="https://zakon.rada.gov.ua/laws/show/1178-2022-%D0%BF#n628" w:anchor="n628" w:history="1">
              <w:r>
                <w:rPr>
                  <w:color w:val="auto"/>
                  <w:highlight w:val="none"/>
                  <w:u w:val="single"/>
                </w:rPr>
                <w:t xml:space="preserve">абзаці чотирнадцятому</w:t>
              </w:r>
            </w:hyperlink>
            <w:r>
              <w:rPr>
                <w:color w:val="auto"/>
                <w:highlight w:val="none"/>
              </w:rPr>
              <w:t xml:space="preserve"> пункту 47</w:t>
            </w:r>
            <w:r>
              <w:rPr>
                <w:color w:val="auto"/>
                <w:highlight w:val="none"/>
              </w:rPr>
              <w:t xml:space="preserve">  цих особливостей;</w:t>
            </w:r>
            <w:bookmarkStart w:id="41" w:name="1v1yuxt"/>
            <w:r>
              <w:rPr>
                <w:color w:val="auto"/>
                <w:highlight w:val="none"/>
              </w:rPr>
            </w:r>
            <w:bookmarkStart w:id="42" w:name="4f1mdlm"/>
            <w:r>
              <w:rPr>
                <w:color w:val="auto"/>
                <w:highlight w:val="none"/>
              </w:rPr>
            </w:r>
            <w:bookmarkEnd w:id="41"/>
            <w:r>
              <w:rPr>
                <w:color w:val="auto"/>
                <w:highlight w:val="none"/>
              </w:rPr>
            </w:r>
            <w:bookmarkEnd w:id="42"/>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3" w:name="2u6wntf"/>
            <w:r>
              <w:rPr>
                <w:color w:val="auto"/>
                <w:highlight w:val="none"/>
              </w:rPr>
            </w:r>
            <w:bookmarkEnd w:id="43"/>
            <w:r>
              <w:rPr>
                <w:color w:val="auto"/>
                <w:highlight w:val="none"/>
              </w:rPr>
              <w:t xml:space="preserve">не надав забезпечення виконання договору про закупівлю, якщо таке забезпечення вимагалося замовником;</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4" w:name="19c6y18"/>
            <w:r>
              <w:rPr>
                <w:color w:val="auto"/>
                <w:highlight w:val="none"/>
              </w:rPr>
            </w:r>
            <w:bookmarkEnd w:id="44"/>
            <w:r>
              <w:rPr>
                <w:color w:val="auto"/>
                <w:highlight w:val="non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bookmarkStart w:id="45" w:name="3tbugp1"/>
            <w:r>
              <w:rPr>
                <w:color w:val="auto"/>
                <w:highlight w:val="none"/>
              </w:rPr>
            </w:r>
            <w:bookmarkEnd w:id="45"/>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b/>
                <w:color w:val="auto"/>
                <w:highlight w:val="none"/>
              </w:rPr>
            </w:pPr>
            <w:r>
              <w:rPr>
                <w:color w:val="auto"/>
                <w:highlight w:val="none"/>
              </w:rPr>
            </w:r>
            <w:bookmarkStart w:id="46" w:name="28h4qwu"/>
            <w:r>
              <w:rPr>
                <w:color w:val="auto"/>
                <w:highlight w:val="none"/>
              </w:rPr>
            </w:r>
            <w:bookmarkEnd w:id="46"/>
            <w:r>
              <w:rPr>
                <w:b/>
                <w:color w:val="auto"/>
                <w:highlight w:val="none"/>
              </w:rPr>
              <w:t xml:space="preserve">Замовник може відхилити тендерну пропозицію із зазначенням аргументації в електронній системі </w:t>
            </w:r>
            <w:r>
              <w:rPr>
                <w:b/>
                <w:color w:val="auto"/>
                <w:highlight w:val="none"/>
              </w:rPr>
              <w:t xml:space="preserve">закупівель</w:t>
            </w:r>
            <w:r>
              <w:rPr>
                <w:b/>
                <w:color w:val="auto"/>
                <w:highlight w:val="none"/>
              </w:rPr>
              <w:t xml:space="preserve"> у разі, коли:</w:t>
            </w:r>
            <w:r>
              <w:rPr>
                <w:b/>
                <w:color w:val="auto"/>
                <w:highlight w:val="none"/>
              </w:rPr>
            </w:r>
            <w:r>
              <w:rPr>
                <w:b/>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7" w:name="nmf14n"/>
            <w:r>
              <w:rPr>
                <w:color w:val="auto"/>
                <w:highlight w:val="none"/>
              </w:rPr>
            </w:r>
            <w:bookmarkEnd w:id="47"/>
            <w:r>
              <w:rPr>
                <w:color w:val="auto"/>
                <w:highlight w:val="non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color w:val="auto"/>
                <w:highlight w:val="none"/>
              </w:rPr>
            </w:r>
            <w:r>
              <w:rPr>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hd w:val="clear" w:color="auto" w:fill="ffffff"/>
              <w:spacing/>
              <w:ind w:firstLine="450"/>
              <w:jc w:val="both"/>
              <w:rPr>
                <w:color w:val="auto"/>
                <w:highlight w:val="none"/>
              </w:rPr>
            </w:pPr>
            <w:r>
              <w:rPr>
                <w:color w:val="auto"/>
                <w:highlight w:val="none"/>
              </w:rPr>
            </w:r>
            <w:bookmarkStart w:id="48" w:name="37m2jsg"/>
            <w:r>
              <w:rPr>
                <w:color w:val="auto"/>
                <w:highlight w:val="none"/>
              </w:rPr>
            </w:r>
            <w:bookmarkEnd w:id="48"/>
            <w:r>
              <w:rPr>
                <w:color w:val="auto"/>
                <w:highlight w:val="non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w:t>
            </w:r>
            <w:r>
              <w:rPr>
                <w:color w:val="auto"/>
                <w:highlight w:val="none"/>
              </w:rPr>
              <w:t xml:space="preserve">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Інформація про відхилення тендерної пропозиції, у тому числі підстави такого відхилення (з посиланням на відповідн</w:t>
            </w:r>
            <w:r>
              <w:rPr>
                <w:color w:val="auto"/>
                <w:highlight w:val="none"/>
              </w:rPr>
              <w:t xml:space="preserve">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r>
              <w:rPr>
                <w:color w:val="auto"/>
                <w:highlight w:val="none"/>
              </w:rPr>
              <w:t xml:space="preserve">закупівель</w:t>
            </w:r>
            <w:r>
              <w:rPr>
                <w:color w:val="auto"/>
                <w:highlight w:val="none"/>
              </w:rPr>
              <w:t xml:space="preserve"> та автоматично надсилається учаснику/переможцю процедури закупівлі, тендерна пропозиція якого відхилена, через електронну систему </w:t>
            </w:r>
            <w:r>
              <w:rPr>
                <w:color w:val="auto"/>
                <w:highlight w:val="none"/>
              </w:rPr>
              <w:t xml:space="preserve">закупівель</w:t>
            </w:r>
            <w:r>
              <w:rPr>
                <w:color w:val="auto"/>
                <w:highlight w:val="none"/>
              </w:rPr>
              <w:t xml:space="preserve">.</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У разі якщо учасник, тендерна пропозиція якого в</w:t>
            </w:r>
            <w:r>
              <w:rPr>
                <w:color w:val="auto"/>
                <w:highlight w:val="none"/>
              </w:rPr>
              <w:t xml:space="preserve">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w:t>
            </w:r>
            <w:r>
              <w:rPr>
                <w:color w:val="auto"/>
                <w:highlight w:val="none"/>
              </w:rPr>
              <w:t xml:space="preserve">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r>
              <w:rPr>
                <w:color w:val="auto"/>
                <w:highlight w:val="none"/>
              </w:rPr>
              <w:t xml:space="preserve">закупівель</w:t>
            </w:r>
            <w:r>
              <w:rPr>
                <w:color w:val="auto"/>
                <w:highlight w:val="none"/>
              </w:rPr>
              <w:t xml:space="preserve">, </w:t>
            </w:r>
            <w:r>
              <w:rPr>
                <w:color w:val="auto"/>
                <w:highlight w:val="none"/>
              </w:rPr>
              <w:t xml:space="preserve">але до моменту оприлюднення договору про закупівлю в електронній системі </w:t>
            </w:r>
            <w:r>
              <w:rPr>
                <w:color w:val="auto"/>
                <w:highlight w:val="none"/>
              </w:rPr>
              <w:t xml:space="preserve">закупівель</w:t>
            </w:r>
            <w:r>
              <w:rPr>
                <w:color w:val="auto"/>
                <w:highlight w:val="none"/>
              </w:rPr>
              <w:t xml:space="preserve"> відповідно до </w:t>
            </w:r>
            <w:hyperlink r:id="rId39" w:tooltip="https://zakon.rada.gov.ua/laws/show/922-19#n1039" w:anchor="n1039" w:history="1">
              <w:r>
                <w:rPr>
                  <w:color w:val="auto"/>
                  <w:highlight w:val="none"/>
                  <w:u w:val="single"/>
                </w:rPr>
                <w:t xml:space="preserve">статті 10</w:t>
              </w:r>
            </w:hyperlink>
            <w:r>
              <w:rPr>
                <w:color w:val="auto"/>
                <w:highlight w:val="none"/>
              </w:rPr>
              <w:t xml:space="preserve"> Закону.</w:t>
            </w:r>
            <w:r>
              <w:rPr>
                <w:color w:val="auto"/>
                <w:highlight w:val="none"/>
              </w:rPr>
            </w:r>
            <w:r>
              <w:rPr>
                <w:color w:val="auto"/>
                <w:highlight w:val="none"/>
              </w:rPr>
            </w:r>
          </w:p>
        </w:tc>
      </w:tr>
      <w:tr>
        <w:trPr>
          <w:trHeight w:val="522"/>
        </w:trPr>
        <w:tc>
          <w:tcPr>
            <w:gridSpan w:val="3"/>
            <w:shd w:val="clear" w:color="auto" w:fill="auto"/>
            <w:tcBorders/>
            <w:tcW w:w="10774" w:type="dxa"/>
            <w:vAlign w:val="center"/>
            <w:textDirection w:val="lrTb"/>
            <w:noWrap w:val="false"/>
          </w:tcPr>
          <w:p>
            <w:pPr>
              <w:widowControl w:val="false"/>
              <w:pBdr/>
              <w:spacing/>
              <w:ind w:hanging="20" w:left="92"/>
              <w:jc w:val="center"/>
              <w:rPr>
                <w:b/>
                <w:color w:val="auto"/>
                <w:highlight w:val="none"/>
              </w:rPr>
            </w:pPr>
            <w:r>
              <w:rPr>
                <w:b/>
                <w:color w:val="auto"/>
                <w:highlight w:val="none"/>
              </w:rPr>
              <w:t xml:space="preserve">Розділ VI Результати торгів та укладання договору про закупівлю</w:t>
            </w:r>
            <w:r>
              <w:rPr>
                <w:b/>
                <w:color w:val="auto"/>
                <w:highlight w:val="none"/>
              </w:rPr>
            </w:r>
            <w:r>
              <w:rPr>
                <w:b/>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1</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Відміна замовником торгів чи визнання їх такими, що не відбулися</w:t>
            </w:r>
            <w:r>
              <w:rPr>
                <w:b/>
                <w:color w:val="auto"/>
                <w:highlight w:val="none"/>
              </w:rPr>
            </w:r>
            <w:r>
              <w:rPr>
                <w:b/>
                <w:color w:val="auto"/>
                <w:highlight w:val="none"/>
              </w:rPr>
            </w:r>
          </w:p>
        </w:tc>
        <w:tc>
          <w:tcPr>
            <w:shd w:val="clear" w:color="auto" w:fill="auto"/>
            <w:tcBorders/>
            <w:tcW w:w="5817" w:type="dxa"/>
            <w:textDirection w:val="lrTb"/>
            <w:noWrap w:val="false"/>
          </w:tcPr>
          <w:p>
            <w:pPr>
              <w:pBdr/>
              <w:shd w:val="clear" w:color="auto" w:fill="ffffff"/>
              <w:spacing/>
              <w:ind/>
              <w:jc w:val="both"/>
              <w:rPr>
                <w:color w:val="auto"/>
                <w:highlight w:val="none"/>
              </w:rPr>
            </w:pPr>
            <w:r>
              <w:rPr>
                <w:color w:val="auto"/>
                <w:highlight w:val="none"/>
              </w:rPr>
              <w:t xml:space="preserve">Замовник відміняє відкриті торги у разі:</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1) відсутності подальшої потреби в закупівлі товарів, робіт чи послуг;</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2) неможливості усунення порушень, що виникли через виявлені порушення вимог законодавства у сфері публічних </w:t>
            </w:r>
            <w:r>
              <w:rPr>
                <w:color w:val="auto"/>
                <w:highlight w:val="none"/>
              </w:rPr>
              <w:t xml:space="preserve">закупівель</w:t>
            </w:r>
            <w:r>
              <w:rPr>
                <w:color w:val="auto"/>
                <w:highlight w:val="none"/>
              </w:rPr>
              <w:t xml:space="preserve">, з описом таких порушень;</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3) скорочення обсягу видатків на здійснення закупівлі товарів, робіт чи послуг;</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4) коли здійснення закупівлі стало неможливим внаслідок дії обставин непереборної сили.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Pr>
                <w:color w:val="auto"/>
                <w:highlight w:val="none"/>
              </w:rPr>
              <w:t xml:space="preserve">закупівель</w:t>
            </w:r>
            <w:r>
              <w:rPr>
                <w:color w:val="auto"/>
                <w:highlight w:val="none"/>
              </w:rPr>
              <w:t xml:space="preserve"> підстави прийняття такого рішення.</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Відкриті торги автоматично відміняються електронною системою </w:t>
            </w:r>
            <w:r>
              <w:rPr>
                <w:color w:val="auto"/>
                <w:highlight w:val="none"/>
              </w:rPr>
              <w:t xml:space="preserve">закупівель</w:t>
            </w:r>
            <w:r>
              <w:rPr>
                <w:color w:val="auto"/>
                <w:highlight w:val="none"/>
              </w:rPr>
              <w:t xml:space="preserve"> у разі:</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Електронною системою </w:t>
            </w:r>
            <w:r>
              <w:rPr>
                <w:color w:val="auto"/>
                <w:highlight w:val="none"/>
              </w:rPr>
              <w:t xml:space="preserve">закупівель</w:t>
            </w:r>
            <w:r>
              <w:rPr>
                <w:color w:val="auto"/>
                <w:highlight w: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Відкриті торги можуть бути відмінені частково (за лотом).</w:t>
            </w:r>
            <w:r>
              <w:rPr>
                <w:color w:val="auto"/>
                <w:highlight w:val="none"/>
              </w:rPr>
            </w:r>
            <w:r>
              <w:rPr>
                <w:color w:val="auto"/>
                <w:highlight w:val="none"/>
              </w:rPr>
            </w:r>
          </w:p>
          <w:p>
            <w:pPr>
              <w:pBdr/>
              <w:shd w:val="clear" w:color="auto" w:fill="ffffff"/>
              <w:spacing/>
              <w:ind/>
              <w:jc w:val="both"/>
              <w:rPr>
                <w:color w:val="auto"/>
                <w:highlight w:val="none"/>
              </w:rPr>
            </w:pPr>
            <w:r>
              <w:rPr>
                <w:color w:val="auto"/>
                <w:highlight w:val="none"/>
              </w:rPr>
              <w:t xml:space="preserve">Інформація про відміну відкритих торгів автоматично надсилається всім учасникам процедури закупівлі електронною системою </w:t>
            </w:r>
            <w:r>
              <w:rPr>
                <w:color w:val="auto"/>
                <w:highlight w:val="none"/>
              </w:rPr>
              <w:t xml:space="preserve">закупівель</w:t>
            </w:r>
            <w:r>
              <w:rPr>
                <w:color w:val="auto"/>
                <w:highlight w:val="none"/>
              </w:rPr>
              <w:t xml:space="preserve"> в день її оприлюднення.</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2</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Строк укладання договору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w:t>
            </w:r>
            <w:r>
              <w:rPr>
                <w:color w:val="auto"/>
                <w:highlight w:val="none"/>
              </w:rPr>
              <w:t xml:space="preserve">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перебіг строку для укладення договору про закупівлю зупиняється.</w:t>
            </w:r>
            <w:r>
              <w:rPr>
                <w:color w:val="auto"/>
                <w:highlight w:val="none"/>
              </w:rPr>
            </w:r>
            <w:r>
              <w:rPr>
                <w:color w:val="auto"/>
                <w:highlight w:val="none"/>
              </w:rPr>
            </w:r>
          </w:p>
          <w:p>
            <w:pPr>
              <w:widowControl w:val="false"/>
              <w:pBdr/>
              <w:spacing/>
              <w:ind w:right="113"/>
              <w:jc w:val="both"/>
              <w:rPr>
                <w:color w:val="auto"/>
                <w:highlight w:val="none"/>
              </w:rPr>
            </w:pPr>
            <w:r>
              <w:rPr>
                <w:color w:val="auto"/>
                <w:highlight w:val="non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3</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Проект договору про закупівлю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Договір про закупівлю повинен відповідати проекту договору, зазначеному в Додатку №2 до тендерної документації. </w:t>
            </w:r>
            <w:r>
              <w:rPr>
                <w:color w:val="auto"/>
                <w:highlight w:val="none"/>
              </w:rPr>
            </w:r>
            <w:r>
              <w:rPr>
                <w:color w:val="auto"/>
                <w:highlight w:val="none"/>
              </w:rPr>
            </w:r>
          </w:p>
          <w:p>
            <w:pPr>
              <w:widowControl w:val="false"/>
              <w:pBdr/>
              <w:spacing/>
              <w:ind w:right="113"/>
              <w:jc w:val="both"/>
              <w:rPr>
                <w:color w:val="auto"/>
                <w:highlight w:val="none"/>
              </w:rPr>
            </w:pPr>
            <w:r>
              <w:rPr>
                <w:color w:val="auto"/>
                <w:highlight w:val="none"/>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i/>
                <w:color w:val="auto"/>
                <w:highlight w:val="non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4</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Істотні умови, що обов’язково включаються до договору про закупівлю</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tabs>
                <w:tab w:val="left" w:leader="none" w:pos="823"/>
              </w:tabs>
              <w:spacing/>
              <w:ind/>
              <w:jc w:val="both"/>
              <w:rPr>
                <w:color w:val="auto"/>
                <w:highlight w:val="none"/>
              </w:rPr>
            </w:pPr>
            <w:r>
              <w:rPr>
                <w:color w:val="auto"/>
                <w:highlight w:val="non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визначення грошового еквівалента зобов’язання в іноземній валюті;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 перерахунку ціни в бік зменшення ціни тендерної пропозиції переможця без зменшення обсягів закупівлі.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1) зменшення обсягів закупівлі, зокрема з урахуванням фактичного обсягу видатків замовника;</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2) погодження зміни ціни за одиницю товару в догово</w:t>
            </w:r>
            <w:r>
              <w:rPr>
                <w:color w:val="auto"/>
                <w:highlight w:val="none"/>
              </w:rPr>
              <w:t xml:space="preserve">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Pr>
                <w:color w:val="auto"/>
                <w:highlight w:val="none"/>
              </w:rPr>
              <w:t xml:space="preserve">пропорційно</w:t>
            </w:r>
            <w:r>
              <w:rPr>
                <w:color w:val="auto"/>
                <w:highlight w:val="none"/>
              </w:rPr>
              <w:t xml:space="preserve"> коливанню ціни такого товару на ринку (відсоток збільшення ціни за од</w:t>
            </w:r>
            <w:r>
              <w:rPr>
                <w:color w:val="auto"/>
                <w:highlight w:val="none"/>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w:t>
            </w:r>
            <w:r>
              <w:rPr>
                <w:color w:val="auto"/>
                <w:highlight w:val="none"/>
              </w:rPr>
              <w:t xml:space="preserve">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 погодження зміни ціни в договорі про закупівлю в бік зменшення (без зміни кількості (обсягу) та якості товарів, робіт і послуг);</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Pr>
                <w:color w:val="auto"/>
                <w:highlight w:val="none"/>
              </w:rPr>
              <w:t xml:space="preserve">пропорційно</w:t>
            </w:r>
            <w:r>
              <w:rPr>
                <w:color w:val="auto"/>
                <w:highlight w:val="none"/>
              </w:rPr>
              <w:t xml:space="preserve"> до зміни таких ставок та/або пільг з оподаткування, а також у зв’язку з зміною системи оподаткування </w:t>
            </w:r>
            <w:r>
              <w:rPr>
                <w:color w:val="auto"/>
                <w:highlight w:val="none"/>
              </w:rPr>
              <w:t xml:space="preserve">пропорційно</w:t>
            </w:r>
            <w:r>
              <w:rPr>
                <w:color w:val="auto"/>
                <w:highlight w:val="none"/>
              </w:rPr>
              <w:t xml:space="preserve"> до зміни податкового навантаження внаслідок зміни системи оподаткування;</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auto"/>
                <w:highlight w:val="none"/>
              </w:rPr>
              <w:t xml:space="preserve">Platts</w:t>
            </w:r>
            <w:r>
              <w:rPr>
                <w:color w:val="auto"/>
                <w:highlight w:val="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8) зміни умов у зв’язку із застосуванням положень частини шостої статті 41 Закону України «Про публічні закупівлі».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Договір про закупівлю є нікчемним у разі:</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1) коли замовник уклав договір про закупівлю з порушенням вимог, визначених пунктом 5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2) укладення договору про закупівлю з порушенням вимог пункту 18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3) укладення договору про закупівлю в період оскарження відкритих торгів відповідно до статті 18 Закону та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4) ук</w:t>
            </w:r>
            <w:r>
              <w:rPr>
                <w:color w:val="auto"/>
                <w:highlight w:val="none"/>
              </w:rPr>
              <w:t xml:space="preserve">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color w:val="auto"/>
                <w:highlight w:val="none"/>
              </w:rPr>
            </w:r>
            <w:r>
              <w:rPr>
                <w:color w:val="auto"/>
                <w:highlight w:val="none"/>
              </w:rPr>
            </w:r>
          </w:p>
          <w:p>
            <w:pPr>
              <w:widowControl w:val="false"/>
              <w:pBdr/>
              <w:spacing/>
              <w:ind/>
              <w:jc w:val="both"/>
              <w:rPr>
                <w:color w:val="auto"/>
                <w:highlight w:val="none"/>
              </w:rPr>
            </w:pPr>
            <w:r>
              <w:rPr>
                <w:color w:val="auto"/>
                <w:highlight w:val="none"/>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color w:val="auto"/>
                <w:highlight w:val="none"/>
              </w:rPr>
            </w:r>
            <w:r>
              <w:rPr>
                <w:color w:val="auto"/>
                <w:highlight w:val="none"/>
              </w:rPr>
            </w:r>
          </w:p>
        </w:tc>
      </w:tr>
      <w:tr>
        <w:trPr>
          <w:trHeight w:val="522"/>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5</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Дії замовника</w:t>
            </w:r>
            <w:r>
              <w:rPr>
                <w:color w:val="auto"/>
                <w:highlight w:val="none"/>
              </w:rPr>
              <w:t xml:space="preserve"> </w:t>
            </w:r>
            <w:r>
              <w:rPr>
                <w:b/>
                <w:color w:val="auto"/>
                <w:highlight w:val="none"/>
              </w:rPr>
              <w:t xml:space="preserve">у разі відхилення тендерної пропозиції з підстави, визначеної підпунктом 3 пункту 44 Особливостей</w:t>
            </w:r>
            <w:r>
              <w:rPr>
                <w:b/>
                <w:color w:val="auto"/>
                <w:highlight w:val="none"/>
              </w:rPr>
            </w:r>
            <w:r>
              <w:rPr>
                <w:b/>
                <w:color w:val="auto"/>
                <w:highlight w:val="none"/>
              </w:rPr>
            </w:r>
          </w:p>
        </w:tc>
        <w:tc>
          <w:tcPr>
            <w:shd w:val="clear" w:color="auto" w:fill="auto"/>
            <w:tcBorders/>
            <w:tcW w:w="5817"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firstLine="147"/>
              <w:jc w:val="both"/>
              <w:rPr>
                <w:rFonts w:ascii="Arial" w:hAnsi="Arial" w:eastAsia="Arial" w:cs="Arial"/>
                <w:strike/>
                <w:color w:val="auto"/>
                <w:sz w:val="22"/>
                <w:szCs w:val="22"/>
                <w:highlight w:val="none"/>
              </w:rPr>
            </w:pPr>
            <w:r>
              <w:rPr>
                <w:color w:val="auto"/>
                <w:highlight w:val="none"/>
              </w:rPr>
              <w:t xml:space="preserve">У разі відхилення тендерної пропозиції з підстави, визначеної </w:t>
            </w:r>
            <w:hyperlink r:id="rId40" w:tooltip="https://zakon.rada.gov.ua/laws/show/1178-2022-%D0%BF#n605" w:anchor="n605" w:history="1">
              <w:r>
                <w:rPr>
                  <w:color w:val="auto"/>
                  <w:highlight w:val="none"/>
                  <w:u w:val="single"/>
                </w:rPr>
                <w:t xml:space="preserve">підпунктом 3</w:t>
              </w:r>
            </w:hyperlink>
            <w:r>
              <w:rPr>
                <w:color w:val="auto"/>
                <w:highlight w:val="none"/>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w:t>
            </w:r>
            <w:r>
              <w:rPr>
                <w:color w:val="auto"/>
                <w:highlight w:val="none"/>
              </w:rPr>
              <w:t xml:space="preserve">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1" w:tooltip="https://zakon.rada.gov.ua/laws/show/922-19#n1611" w:anchor="n1611" w:history="1">
              <w:r>
                <w:rPr>
                  <w:color w:val="auto"/>
                  <w:highlight w:val="none"/>
                  <w:u w:val="single"/>
                </w:rPr>
                <w:t xml:space="preserve">статтею 33</w:t>
              </w:r>
            </w:hyperlink>
            <w:r>
              <w:rPr>
                <w:color w:val="auto"/>
                <w:highlight w:val="none"/>
              </w:rPr>
              <w:t xml:space="preserve"> Закону та цим пунктом.</w:t>
            </w:r>
            <w:r>
              <w:rPr>
                <w:rFonts w:ascii="Arial" w:hAnsi="Arial" w:eastAsia="Arial" w:cs="Arial"/>
                <w:strike/>
                <w:color w:val="auto"/>
                <w:sz w:val="22"/>
                <w:szCs w:val="22"/>
                <w:highlight w:val="none"/>
              </w:rPr>
            </w:r>
            <w:r>
              <w:rPr>
                <w:rFonts w:ascii="Arial" w:hAnsi="Arial" w:eastAsia="Arial" w:cs="Arial"/>
                <w:strike/>
                <w:color w:val="auto"/>
                <w:sz w:val="22"/>
                <w:szCs w:val="22"/>
                <w:highlight w:val="none"/>
              </w:rPr>
            </w:r>
          </w:p>
        </w:tc>
      </w:tr>
      <w:tr>
        <w:trPr>
          <w:trHeight w:val="303"/>
        </w:trPr>
        <w:tc>
          <w:tcPr>
            <w:shd w:val="clear" w:color="auto" w:fill="auto"/>
            <w:tcBorders/>
            <w:tcW w:w="919" w:type="dxa"/>
            <w:textDirection w:val="lrTb"/>
            <w:noWrap w:val="false"/>
          </w:tcPr>
          <w:p>
            <w:pPr>
              <w:widowControl w:val="false"/>
              <w:pBdr/>
              <w:spacing/>
              <w:ind w:right="113"/>
              <w:rPr>
                <w:b/>
                <w:color w:val="auto"/>
                <w:highlight w:val="none"/>
              </w:rPr>
            </w:pPr>
            <w:r>
              <w:rPr>
                <w:b/>
                <w:color w:val="auto"/>
                <w:highlight w:val="none"/>
              </w:rPr>
              <w:t xml:space="preserve">6</w:t>
            </w:r>
            <w:r>
              <w:rPr>
                <w:b/>
                <w:color w:val="auto"/>
                <w:highlight w:val="none"/>
              </w:rPr>
            </w:r>
            <w:r>
              <w:rPr>
                <w:b/>
                <w:color w:val="auto"/>
                <w:highlight w:val="none"/>
              </w:rPr>
            </w:r>
          </w:p>
        </w:tc>
        <w:tc>
          <w:tcPr>
            <w:shd w:val="clear" w:color="auto" w:fill="auto"/>
            <w:tcBorders/>
            <w:tcW w:w="4038" w:type="dxa"/>
            <w:textDirection w:val="lrTb"/>
            <w:noWrap w:val="false"/>
          </w:tcPr>
          <w:p>
            <w:pPr>
              <w:widowControl w:val="false"/>
              <w:pBdr/>
              <w:spacing/>
              <w:ind w:right="113"/>
              <w:rPr>
                <w:b/>
                <w:color w:val="auto"/>
                <w:highlight w:val="none"/>
              </w:rPr>
            </w:pPr>
            <w:r>
              <w:rPr>
                <w:b/>
                <w:color w:val="auto"/>
                <w:highlight w:val="none"/>
              </w:rPr>
              <w:t xml:space="preserve">Забезпечення виконання договору про закупівлю </w:t>
            </w:r>
            <w:r>
              <w:rPr>
                <w:b/>
                <w:color w:val="auto"/>
                <w:highlight w:val="none"/>
              </w:rPr>
            </w:r>
            <w:r>
              <w:rPr>
                <w:b/>
                <w:color w:val="auto"/>
                <w:highlight w:val="none"/>
              </w:rPr>
            </w:r>
          </w:p>
        </w:tc>
        <w:tc>
          <w:tcPr>
            <w:shd w:val="clear" w:color="auto" w:fill="auto"/>
            <w:tcBorders/>
            <w:tcW w:w="5817" w:type="dxa"/>
            <w:textDirection w:val="lrTb"/>
            <w:noWrap w:val="false"/>
          </w:tcPr>
          <w:p>
            <w:pPr>
              <w:widowControl w:val="false"/>
              <w:pBdr/>
              <w:spacing/>
              <w:ind w:right="113"/>
              <w:jc w:val="both"/>
              <w:rPr>
                <w:color w:val="auto"/>
                <w:highlight w:val="none"/>
              </w:rPr>
            </w:pPr>
            <w:r>
              <w:rPr>
                <w:color w:val="auto"/>
                <w:highlight w:val="none"/>
              </w:rPr>
              <w:t xml:space="preserve">Не вимагається.</w:t>
            </w:r>
            <w:r>
              <w:rPr>
                <w:color w:val="auto"/>
                <w:highlight w:val="none"/>
              </w:rPr>
            </w:r>
            <w:r>
              <w:rPr>
                <w:color w:val="auto"/>
                <w:highlight w:val="none"/>
              </w:rPr>
            </w:r>
          </w:p>
        </w:tc>
      </w:tr>
    </w:tbl>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Додаток №1</w:t>
      </w:r>
      <w:r>
        <w:rPr>
          <w:b/>
          <w:i/>
          <w:color w:val="auto"/>
          <w:highlight w:val="none"/>
        </w:rPr>
      </w:r>
      <w:r>
        <w:rPr>
          <w:b/>
          <w:i/>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 тендерної документації </w:t>
      </w:r>
      <w:r>
        <w:rPr>
          <w:b/>
          <w:i/>
          <w:color w:val="auto"/>
          <w:highlight w:val="none"/>
        </w:rPr>
      </w:r>
      <w:r>
        <w:rPr>
          <w:b/>
          <w:i/>
          <w:color w:val="auto"/>
          <w:highlight w:val="none"/>
        </w:rPr>
      </w:r>
    </w:p>
    <w:p>
      <w:pPr>
        <w:widowControl w:val="false"/>
        <w:pBdr/>
        <w:tabs>
          <w:tab w:val="left" w:leader="none" w:pos="4860"/>
        </w:tabs>
        <w:spacing/>
        <w:ind/>
        <w:jc w:val="right"/>
        <w:rPr>
          <w:i/>
          <w:color w:val="auto"/>
          <w:sz w:val="16"/>
          <w:szCs w:val="16"/>
          <w:highlight w:val="none"/>
        </w:rPr>
      </w:pPr>
      <w:r>
        <w:rPr>
          <w:i/>
          <w:color w:val="auto"/>
          <w:sz w:val="16"/>
          <w:szCs w:val="16"/>
          <w:highlight w:val="none"/>
        </w:rPr>
      </w:r>
      <w:r>
        <w:rPr>
          <w:i/>
          <w:color w:val="auto"/>
          <w:sz w:val="16"/>
          <w:szCs w:val="16"/>
          <w:highlight w:val="none"/>
        </w:rPr>
      </w:r>
      <w:r>
        <w:rPr>
          <w:i/>
          <w:color w:val="auto"/>
          <w:sz w:val="16"/>
          <w:szCs w:val="16"/>
          <w:highlight w:val="none"/>
        </w:rPr>
      </w:r>
    </w:p>
    <w:p>
      <w:pPr>
        <w:widowControl w:val="false"/>
        <w:pBdr/>
        <w:spacing/>
        <w:ind/>
        <w:jc w:val="center"/>
        <w:rPr>
          <w:b/>
          <w:color w:val="auto"/>
          <w:highlight w:val="none"/>
          <w:u w:val="single"/>
        </w:rPr>
      </w:pPr>
      <w:r>
        <w:rPr>
          <w:b/>
          <w:color w:val="auto"/>
          <w:highlight w:val="none"/>
          <w:u w:val="single"/>
        </w:rPr>
      </w:r>
      <w:r>
        <w:rPr>
          <w:b/>
          <w:color w:val="auto"/>
          <w:highlight w:val="none"/>
          <w:u w:val="single"/>
        </w:rPr>
      </w:r>
      <w:r>
        <w:rPr>
          <w:b/>
          <w:color w:val="auto"/>
          <w:highlight w:val="none"/>
          <w:u w:val="single"/>
        </w:rPr>
      </w:r>
    </w:p>
    <w:p>
      <w:pPr>
        <w:widowControl w:val="false"/>
        <w:pBdr/>
        <w:spacing/>
        <w:ind/>
        <w:jc w:val="center"/>
        <w:rPr>
          <w:b/>
          <w:color w:val="auto"/>
          <w:highlight w:val="none"/>
          <w:u w:val="single"/>
        </w:rPr>
      </w:pPr>
      <w:r>
        <w:rPr>
          <w:b/>
          <w:color w:val="auto"/>
          <w:highlight w:val="none"/>
          <w:u w:val="single"/>
        </w:rPr>
        <w:t xml:space="preserve">ЦІНОВА ПРОПОЗИЦІЯ</w:t>
      </w:r>
      <w:r>
        <w:rPr>
          <w:b/>
          <w:color w:val="auto"/>
          <w:highlight w:val="none"/>
          <w:u w:val="single"/>
        </w:rPr>
      </w:r>
      <w:r>
        <w:rPr>
          <w:b/>
          <w:color w:val="auto"/>
          <w:highlight w:val="none"/>
          <w:u w:val="single"/>
        </w:rPr>
      </w:r>
    </w:p>
    <w:p>
      <w:pPr>
        <w:widowControl w:val="false"/>
        <w:pBdr/>
        <w:spacing/>
        <w:ind/>
        <w:jc w:val="center"/>
        <w:rPr>
          <w:b/>
          <w:color w:val="auto"/>
          <w:highlight w:val="none"/>
          <w:u w:val="single"/>
        </w:rPr>
      </w:pPr>
      <w:r>
        <w:rPr>
          <w:b/>
          <w:color w:val="auto"/>
          <w:highlight w:val="none"/>
          <w:u w:val="single"/>
        </w:rPr>
        <w:t xml:space="preserve">на закупівлю </w:t>
      </w:r>
      <w:r>
        <w:rPr>
          <w:b/>
          <w:color w:val="auto"/>
          <w:highlight w:val="none"/>
          <w:u w:val="single"/>
        </w:rPr>
      </w:r>
      <w:r>
        <w:rPr>
          <w:b/>
          <w:color w:val="auto"/>
          <w:highlight w:val="none"/>
          <w:u w:val="single"/>
        </w:rPr>
      </w:r>
    </w:p>
    <w:p>
      <w:pPr>
        <w:widowControl w:val="false"/>
        <w:pBdr/>
        <w:shd w:val="clear" w:color="auto" w:fill="ffffff"/>
        <w:spacing/>
        <w:ind/>
        <w:jc w:val="center"/>
        <w:rPr>
          <w:b/>
          <w:color w:val="auto"/>
          <w:highlight w:val="none"/>
        </w:rPr>
      </w:pPr>
      <w:r>
        <w:rPr>
          <w:b/>
          <w:color w:val="auto"/>
          <w:highlight w:val="none"/>
        </w:rPr>
        <w:t xml:space="preserve">Виготовлення проектно - кошторисної документації по об’єкту: </w:t>
      </w:r>
      <w:r>
        <w:rPr>
          <w:b/>
          <w:color w:val="auto"/>
          <w:highlight w:val="none"/>
        </w:rPr>
        <w:t xml:space="preserve">«</w:t>
      </w:r>
      <w:r>
        <w:rPr>
          <w:b/>
          <w:color w:val="auto"/>
          <w:highlight w:val="none"/>
        </w:rPr>
        <w:t xml:space="preserve">Нове будівництво будівлі </w:t>
      </w:r>
      <w:r>
        <w:rPr>
          <w:b/>
          <w:color w:val="auto"/>
          <w:highlight w:val="none"/>
        </w:rPr>
        <w:t xml:space="preserve">пожежно</w:t>
      </w:r>
      <w:r>
        <w:rPr>
          <w:b/>
          <w:color w:val="auto"/>
          <w:highlight w:val="none"/>
        </w:rPr>
        <w:t xml:space="preserve">-рятувальної частини Подільського району в м.Київ на </w:t>
      </w:r>
      <w:r>
        <w:rPr>
          <w:b/>
          <w:color w:val="auto"/>
          <w:highlight w:val="none"/>
        </w:rPr>
        <w:t xml:space="preserve">вул.Вишгородська</w:t>
      </w:r>
      <w:r>
        <w:rPr>
          <w:b/>
          <w:color w:val="auto"/>
          <w:highlight w:val="none"/>
        </w:rPr>
        <w:t xml:space="preserve">, 21</w:t>
      </w:r>
      <w:r>
        <w:rPr>
          <w:b/>
          <w:color w:val="auto"/>
          <w:highlight w:val="none"/>
        </w:rPr>
        <w:t xml:space="preserve">»</w:t>
      </w:r>
      <w:r>
        <w:rPr>
          <w:b/>
          <w:color w:val="auto"/>
          <w:highlight w:val="none"/>
        </w:rPr>
      </w:r>
      <w:r>
        <w:rPr>
          <w:b/>
          <w:color w:val="auto"/>
          <w:highlight w:val="none"/>
        </w:rPr>
      </w:r>
    </w:p>
    <w:p>
      <w:pPr>
        <w:widowControl w:val="false"/>
        <w:pBdr/>
        <w:shd w:val="clear" w:color="auto" w:fill="ffffff"/>
        <w:spacing/>
        <w:ind/>
        <w:jc w:val="center"/>
        <w:rPr>
          <w:b/>
          <w:color w:val="auto"/>
          <w:highlight w:val="none"/>
        </w:rPr>
      </w:pPr>
      <w:r>
        <w:rPr>
          <w:b/>
          <w:color w:val="auto"/>
          <w:highlight w:val="none"/>
        </w:rPr>
        <w:t xml:space="preserve">За кодом ДК 021:2015 - 71240000-2 Архітектурні, інженерні та планувальні послуги</w:t>
      </w:r>
      <w:r>
        <w:rPr>
          <w:b/>
          <w:color w:val="auto"/>
          <w:highlight w:val="none"/>
        </w:rPr>
      </w:r>
      <w:r>
        <w:rPr>
          <w:b/>
          <w:color w:val="auto"/>
          <w:highlight w:val="none"/>
        </w:rPr>
      </w:r>
    </w:p>
    <w:p>
      <w:pPr>
        <w:widowControl w:val="false"/>
        <w:pBdr/>
        <w:shd w:val="clear" w:color="auto" w:fill="ffffff"/>
        <w:spacing/>
        <w:ind/>
        <w:jc w:val="center"/>
        <w:rPr>
          <w:b/>
          <w:i/>
          <w:color w:val="auto"/>
          <w:highlight w:val="none"/>
        </w:rPr>
      </w:pPr>
      <w:r>
        <w:rPr>
          <w:b/>
          <w:i/>
          <w:color w:val="auto"/>
          <w:highlight w:val="none"/>
        </w:rPr>
      </w:r>
      <w:r>
        <w:rPr>
          <w:b/>
          <w:i/>
          <w:color w:val="auto"/>
          <w:highlight w:val="none"/>
        </w:rPr>
      </w:r>
      <w:r>
        <w:rPr>
          <w:b/>
          <w:i/>
          <w:color w:val="auto"/>
          <w:highlight w:val="none"/>
        </w:rPr>
      </w:r>
    </w:p>
    <w:tbl>
      <w:tblPr>
        <w:tblStyle w:val="898"/>
        <w:tblW w:w="10428" w:type="dxa"/>
        <w:tblInd w:w="-115" w:type="dxa"/>
        <w:tblBorders/>
        <w:tblLayout w:type="fixed"/>
        <w:tblLook w:val="0400" w:firstRow="0" w:lastRow="0" w:firstColumn="0" w:lastColumn="0" w:noHBand="0" w:noVBand="1"/>
      </w:tblPr>
      <w:tblGrid>
        <w:gridCol w:w="6217"/>
        <w:gridCol w:w="4211"/>
      </w:tblGrid>
      <w:tr>
        <w:trPr>
          <w:trHeight w:val="849"/>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1. Повне або скорочене  найменування учасника (прізвище, ім’я, по батькові для Учасників фізичних осіб, фізичних осіб-підприємців)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124"/>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2. Юридична та фактична адреса учасника</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78"/>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3. Код ЄДРПОУ/ІПН учасника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94"/>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4. Банківські реквізити </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r>
        <w:trPr>
          <w:trHeight w:val="278"/>
        </w:trPr>
        <w:tc>
          <w:tcPr>
            <w:tcBorders>
              <w:top w:val="single" w:color="000000" w:sz="6" w:space="0"/>
              <w:left w:val="single" w:color="000000" w:sz="6" w:space="0"/>
              <w:bottom w:val="single" w:color="000000" w:sz="6" w:space="0"/>
              <w:right w:val="single" w:color="000000" w:sz="6" w:space="0"/>
            </w:tcBorders>
            <w:tcW w:w="6217" w:type="dxa"/>
            <w:textDirection w:val="lrTb"/>
            <w:noWrap w:val="false"/>
          </w:tcPr>
          <w:p>
            <w:pPr>
              <w:widowControl w:val="false"/>
              <w:pBdr/>
              <w:spacing/>
              <w:ind/>
              <w:jc w:val="both"/>
              <w:rPr>
                <w:color w:val="auto"/>
                <w:highlight w:val="none"/>
              </w:rPr>
            </w:pPr>
            <w:r>
              <w:rPr>
                <w:color w:val="auto"/>
                <w:highlight w:val="none"/>
              </w:rPr>
              <w:t xml:space="preserve">5. Телефон (факс), е-</w:t>
            </w:r>
            <w:r>
              <w:rPr>
                <w:color w:val="auto"/>
                <w:highlight w:val="none"/>
              </w:rPr>
              <w:t xml:space="preserve">mail</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4211" w:type="dxa"/>
            <w:textDirection w:val="lrTb"/>
            <w:noWrap w:val="false"/>
          </w:tcPr>
          <w:p>
            <w:pPr>
              <w:widowControl w:val="false"/>
              <w:pBdr/>
              <w:spacing/>
              <w:ind/>
              <w:jc w:val="both"/>
              <w:rPr>
                <w:b/>
                <w:color w:val="auto"/>
                <w:highlight w:val="none"/>
              </w:rPr>
            </w:pPr>
            <w:r>
              <w:rPr>
                <w:b/>
                <w:color w:val="auto"/>
                <w:highlight w:val="none"/>
              </w:rPr>
            </w:r>
            <w:r>
              <w:rPr>
                <w:b/>
                <w:color w:val="auto"/>
                <w:highlight w:val="none"/>
              </w:rPr>
            </w:r>
            <w:r>
              <w:rPr>
                <w:b/>
                <w:color w:val="auto"/>
                <w:highlight w:val="none"/>
              </w:rPr>
            </w:r>
          </w:p>
        </w:tc>
      </w:tr>
    </w:tbl>
    <w:p>
      <w:pPr>
        <w:widowControl w:val="false"/>
        <w:pBdr/>
        <w:spacing/>
        <w:ind/>
        <w:jc w:val="both"/>
        <w:rPr>
          <w:color w:val="auto"/>
          <w:highlight w:val="none"/>
        </w:rPr>
      </w:pPr>
      <w:r>
        <w:rPr>
          <w:color w:val="auto"/>
          <w:highlight w:val="none"/>
        </w:rPr>
      </w:r>
      <w:r>
        <w:rPr>
          <w:color w:val="auto"/>
          <w:highlight w:val="none"/>
        </w:rPr>
      </w:r>
      <w:r>
        <w:rPr>
          <w:color w:val="auto"/>
          <w:highlight w:val="none"/>
        </w:rPr>
      </w:r>
    </w:p>
    <w:p>
      <w:pPr>
        <w:widowControl w:val="false"/>
        <w:pBdr/>
        <w:spacing/>
        <w:ind w:firstLine="284"/>
        <w:jc w:val="both"/>
        <w:rPr>
          <w:color w:val="auto"/>
          <w:highlight w:val="none"/>
        </w:rPr>
      </w:pPr>
      <w:r>
        <w:rPr>
          <w:color w:val="auto"/>
          <w:highlight w:val="none"/>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r>
        <w:rPr>
          <w:color w:val="auto"/>
          <w:highlight w:val="none"/>
        </w:rPr>
      </w:r>
      <w:r>
        <w:rPr>
          <w:color w:val="auto"/>
          <w:highlight w:val="none"/>
        </w:rPr>
      </w:r>
    </w:p>
    <w:tbl>
      <w:tblPr>
        <w:tblStyle w:val="899"/>
        <w:tblW w:w="10350" w:type="dxa"/>
        <w:tblInd w:w="-6"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650"/>
        <w:gridCol w:w="1134"/>
        <w:gridCol w:w="1195"/>
        <w:gridCol w:w="1276"/>
        <w:gridCol w:w="2268"/>
        <w:gridCol w:w="1417"/>
        <w:gridCol w:w="1134"/>
        <w:gridCol w:w="1276"/>
      </w:tblGrid>
      <w:tr>
        <w:trPr>
          <w:trHeight w:val="643"/>
        </w:trPr>
        <w:tc>
          <w:tcPr>
            <w:tcBorders>
              <w:top w:val="single" w:color="000000" w:sz="6" w:space="0"/>
              <w:left w:val="single" w:color="000000" w:sz="4" w:space="0"/>
              <w:bottom w:val="single" w:color="000000" w:sz="6" w:space="0"/>
              <w:right w:val="single" w:color="000000" w:sz="4" w:space="0"/>
            </w:tcBorders>
            <w:tcW w:w="650" w:type="dxa"/>
            <w:vAlign w:val="center"/>
            <w:textDirection w:val="lrTb"/>
            <w:noWrap w:val="false"/>
          </w:tcPr>
          <w:p>
            <w:pPr>
              <w:pBdr/>
              <w:spacing/>
              <w:ind w:firstLine="567"/>
              <w:jc w:val="center"/>
              <w:rPr>
                <w:color w:val="auto"/>
                <w:highlight w:val="none"/>
              </w:rPr>
            </w:pPr>
            <w:r>
              <w:rPr>
                <w:color w:val="auto"/>
                <w:highlight w:val="none"/>
              </w:rPr>
              <w:t xml:space="preserve">№</w:t>
            </w:r>
            <w:r>
              <w:rPr>
                <w:color w:val="auto"/>
                <w:highlight w:val="none"/>
              </w:rPr>
            </w:r>
            <w:r>
              <w:rPr>
                <w:color w:val="auto"/>
                <w:highlight w:val="none"/>
              </w:rPr>
            </w:r>
          </w:p>
          <w:p>
            <w:pPr>
              <w:pBdr/>
              <w:spacing/>
              <w:ind w:firstLine="567"/>
              <w:jc w:val="center"/>
              <w:rPr>
                <w:color w:val="auto"/>
                <w:highlight w:val="none"/>
              </w:rPr>
            </w:pPr>
            <w:r>
              <w:rPr>
                <w:color w:val="auto"/>
                <w:highlight w:val="none"/>
              </w:rPr>
              <w:t xml:space="preserve">П№ п/п</w:t>
            </w:r>
            <w:r>
              <w:rPr>
                <w:color w:val="auto"/>
                <w:highlight w:val="none"/>
              </w:rPr>
            </w:r>
            <w:r>
              <w:rPr>
                <w:color w:val="auto"/>
                <w:highlight w:val="none"/>
              </w:rPr>
            </w:r>
          </w:p>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6" w:space="0"/>
            </w:tcBorders>
            <w:tcW w:w="1134" w:type="dxa"/>
            <w:vAlign w:val="center"/>
            <w:textDirection w:val="lrTb"/>
            <w:noWrap w:val="false"/>
          </w:tcPr>
          <w:p>
            <w:pPr>
              <w:pBdr/>
              <w:spacing/>
              <w:ind/>
              <w:jc w:val="center"/>
              <w:rPr>
                <w:color w:val="auto"/>
                <w:highlight w:val="none"/>
              </w:rPr>
            </w:pPr>
            <w:r>
              <w:rPr>
                <w:color w:val="auto"/>
                <w:highlight w:val="none"/>
              </w:rPr>
              <w:t xml:space="preserve">Найменування </w:t>
            </w:r>
            <w:r>
              <w:rPr>
                <w:color w:val="auto"/>
                <w:highlight w:val="none"/>
              </w:rPr>
              <w:br/>
              <w:t xml:space="preserve">робіт</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1195" w:type="dxa"/>
            <w:vAlign w:val="center"/>
            <w:textDirection w:val="lrTb"/>
            <w:noWrap w:val="false"/>
          </w:tcPr>
          <w:p>
            <w:pPr>
              <w:pBdr/>
              <w:spacing/>
              <w:ind w:firstLine="95"/>
              <w:jc w:val="center"/>
              <w:rPr>
                <w:color w:val="auto"/>
                <w:highlight w:val="none"/>
              </w:rPr>
            </w:pPr>
            <w:r>
              <w:rPr>
                <w:color w:val="auto"/>
                <w:highlight w:val="none"/>
              </w:rPr>
              <w:t xml:space="preserve">Код ДК 021:2015</w:t>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4" w:space="0"/>
            </w:tcBorders>
            <w:tcW w:w="1276" w:type="dxa"/>
            <w:vAlign w:val="center"/>
            <w:textDirection w:val="lrTb"/>
            <w:noWrap w:val="false"/>
          </w:tcPr>
          <w:p>
            <w:pPr>
              <w:pBdr/>
              <w:spacing/>
              <w:ind/>
              <w:jc w:val="center"/>
              <w:rPr>
                <w:color w:val="auto"/>
                <w:highlight w:val="none"/>
              </w:rPr>
            </w:pPr>
            <w:r>
              <w:rPr>
                <w:color w:val="auto"/>
                <w:highlight w:val="none"/>
              </w:rPr>
              <w:t xml:space="preserve">Одиниця</w:t>
            </w:r>
            <w:r>
              <w:rPr>
                <w:color w:val="auto"/>
                <w:highlight w:val="none"/>
              </w:rPr>
            </w:r>
            <w:r>
              <w:rPr>
                <w:color w:val="auto"/>
                <w:highlight w:val="none"/>
              </w:rPr>
            </w:r>
          </w:p>
          <w:p>
            <w:pPr>
              <w:pBdr/>
              <w:spacing/>
              <w:ind w:firstLine="33"/>
              <w:jc w:val="center"/>
              <w:rPr>
                <w:color w:val="auto"/>
                <w:highlight w:val="none"/>
              </w:rPr>
            </w:pPr>
            <w:r>
              <w:rPr>
                <w:color w:val="auto"/>
                <w:highlight w:val="none"/>
              </w:rPr>
              <w:t xml:space="preserve">виміру</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2268" w:type="dxa"/>
            <w:vAlign w:val="center"/>
            <w:textDirection w:val="lrTb"/>
            <w:noWrap w:val="false"/>
          </w:tcPr>
          <w:p>
            <w:pPr>
              <w:pBdr/>
              <w:spacing/>
              <w:ind w:firstLine="34"/>
              <w:jc w:val="center"/>
              <w:rPr>
                <w:color w:val="auto"/>
                <w:highlight w:val="none"/>
              </w:rPr>
            </w:pPr>
            <w:r>
              <w:rPr>
                <w:color w:val="auto"/>
                <w:highlight w:val="none"/>
              </w:rPr>
              <w:t xml:space="preserve">Кількість</w:t>
            </w:r>
            <w:r>
              <w:rPr>
                <w:color w:val="auto"/>
                <w:highlight w:val="none"/>
              </w:rPr>
            </w:r>
            <w:r>
              <w:rPr>
                <w:color w:val="auto"/>
                <w:highlight w:val="none"/>
              </w:rPr>
            </w:r>
          </w:p>
          <w:p>
            <w:pPr>
              <w:pBdr/>
              <w:spacing/>
              <w:ind w:firstLine="34"/>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1417" w:type="dxa"/>
            <w:vAlign w:val="center"/>
            <w:textDirection w:val="lrTb"/>
            <w:noWrap w:val="false"/>
          </w:tcPr>
          <w:p>
            <w:pPr>
              <w:pBdr/>
              <w:spacing/>
              <w:ind w:firstLine="34"/>
              <w:jc w:val="center"/>
              <w:rPr>
                <w:color w:val="auto"/>
                <w:highlight w:val="none"/>
              </w:rPr>
            </w:pPr>
            <w:r>
              <w:rPr>
                <w:color w:val="auto"/>
                <w:highlight w:val="none"/>
              </w:rPr>
              <w:t xml:space="preserve">Ціна за одиницю, грн. без ПДВ*</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1134" w:type="dxa"/>
            <w:vAlign w:val="center"/>
            <w:textDirection w:val="lrTb"/>
            <w:noWrap w:val="false"/>
          </w:tcPr>
          <w:p>
            <w:pPr>
              <w:pBdr/>
              <w:spacing/>
              <w:ind w:firstLine="34"/>
              <w:jc w:val="center"/>
              <w:rPr>
                <w:color w:val="auto"/>
                <w:highlight w:val="none"/>
              </w:rPr>
            </w:pPr>
            <w:r>
              <w:rPr>
                <w:color w:val="auto"/>
                <w:highlight w:val="none"/>
              </w:rPr>
              <w:t xml:space="preserve">Ціна за одиницю, грн. з  ПДВ*</w:t>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6" w:space="0"/>
            </w:tcBorders>
            <w:tcW w:w="1276" w:type="dxa"/>
            <w:vAlign w:val="center"/>
            <w:textDirection w:val="lrTb"/>
            <w:noWrap w:val="false"/>
          </w:tcPr>
          <w:p>
            <w:pPr>
              <w:pBdr/>
              <w:spacing/>
              <w:ind/>
              <w:jc w:val="center"/>
              <w:rPr>
                <w:color w:val="auto"/>
                <w:highlight w:val="none"/>
              </w:rPr>
            </w:pPr>
            <w:r>
              <w:rPr>
                <w:color w:val="auto"/>
                <w:highlight w:val="none"/>
              </w:rPr>
              <w:t xml:space="preserve">Загальна</w:t>
            </w:r>
            <w:r>
              <w:rPr>
                <w:color w:val="auto"/>
                <w:highlight w:val="none"/>
              </w:rPr>
            </w:r>
            <w:r>
              <w:rPr>
                <w:color w:val="auto"/>
                <w:highlight w:val="none"/>
              </w:rPr>
            </w:r>
          </w:p>
          <w:p>
            <w:pPr>
              <w:pBdr/>
              <w:spacing/>
              <w:ind/>
              <w:jc w:val="center"/>
              <w:rPr>
                <w:color w:val="auto"/>
                <w:highlight w:val="none"/>
              </w:rPr>
            </w:pPr>
            <w:r>
              <w:rPr>
                <w:color w:val="auto"/>
                <w:highlight w:val="none"/>
              </w:rPr>
              <w:t xml:space="preserve">вартість, з\без ПДВ</w:t>
            </w:r>
            <w:r>
              <w:rPr>
                <w:color w:val="auto"/>
                <w:highlight w:val="none"/>
              </w:rPr>
            </w:r>
            <w:r>
              <w:rPr>
                <w:color w:val="auto"/>
                <w:highlight w:val="none"/>
              </w:rPr>
            </w:r>
          </w:p>
          <w:p>
            <w:pPr>
              <w:pBdr/>
              <w:spacing/>
              <w:ind/>
              <w:jc w:val="center"/>
              <w:rPr>
                <w:color w:val="auto"/>
                <w:highlight w:val="none"/>
              </w:rPr>
            </w:pPr>
            <w:r>
              <w:rPr>
                <w:color w:val="auto"/>
                <w:highlight w:val="none"/>
              </w:rPr>
              <w:t xml:space="preserve">грн..</w:t>
            </w:r>
            <w:r>
              <w:rPr>
                <w:color w:val="auto"/>
                <w:highlight w:val="none"/>
              </w:rPr>
            </w:r>
            <w:r>
              <w:rPr>
                <w:color w:val="auto"/>
                <w:highlight w:val="none"/>
              </w:rPr>
            </w:r>
          </w:p>
        </w:tc>
      </w:tr>
      <w:tr>
        <w:trPr>
          <w:trHeight w:val="700"/>
        </w:trPr>
        <w:tc>
          <w:tcPr>
            <w:tcBorders>
              <w:top w:val="single" w:color="000000" w:sz="6" w:space="0"/>
              <w:left w:val="single" w:color="000000" w:sz="4" w:space="0"/>
              <w:bottom w:val="single" w:color="000000" w:sz="6" w:space="0"/>
              <w:right w:val="single" w:color="000000" w:sz="4" w:space="0"/>
            </w:tcBorders>
            <w:tcW w:w="650" w:type="dxa"/>
            <w:vAlign w:val="center"/>
            <w:textDirection w:val="lrTb"/>
            <w:noWrap w:val="false"/>
          </w:tcPr>
          <w:p>
            <w:pPr>
              <w:pBdr/>
              <w:spacing/>
              <w:ind w:firstLine="567"/>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6" w:space="0"/>
            </w:tcBorders>
            <w:tcW w:w="1134" w:type="dxa"/>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6" w:space="0"/>
            </w:tcBorders>
            <w:tcW w:w="1195" w:type="dxa"/>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6" w:space="0"/>
              <w:bottom w:val="single" w:color="000000" w:sz="6" w:space="0"/>
              <w:right w:val="single" w:color="000000" w:sz="4" w:space="0"/>
            </w:tcBorders>
            <w:tcW w:w="1276" w:type="dxa"/>
            <w:vAlign w:val="center"/>
            <w:textDirection w:val="lrTb"/>
            <w:noWrap w:val="false"/>
          </w:tcPr>
          <w:p>
            <w:pPr>
              <w:pBdr/>
              <w:spacing/>
              <w:ind w:firstLine="567"/>
              <w:jc w:val="center"/>
              <w:rPr>
                <w:color w:val="auto"/>
                <w:highlight w:val="none"/>
              </w:rPr>
            </w:pPr>
            <w:r>
              <w:rPr>
                <w:color w:val="auto"/>
                <w:highlight w:val="none"/>
              </w:rPr>
            </w:r>
            <w:r>
              <w:rPr>
                <w:color w:val="auto"/>
                <w:highlight w:val="none"/>
              </w:rPr>
            </w:r>
            <w:r>
              <w:rPr>
                <w:color w:val="auto"/>
                <w:highlight w:val="none"/>
              </w:rPr>
            </w:r>
          </w:p>
        </w:tc>
        <w:tc>
          <w:tcPr>
            <w:tcBorders>
              <w:top w:val="single" w:color="000000" w:sz="6" w:space="0"/>
              <w:left w:val="single" w:color="000000" w:sz="4" w:space="0"/>
              <w:bottom w:val="single" w:color="000000" w:sz="6" w:space="0"/>
              <w:right w:val="single" w:color="000000" w:sz="4" w:space="0"/>
            </w:tcBorders>
            <w:tcW w:w="2268" w:type="dxa"/>
            <w:vAlign w:val="center"/>
            <w:textDirection w:val="lrTb"/>
            <w:noWrap w:val="false"/>
          </w:tcPr>
          <w:p>
            <w:pPr>
              <w:pBdr/>
              <w:spacing/>
              <w:ind w:firstLine="34"/>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4" w:space="0"/>
            </w:tcBorders>
            <w:tcW w:w="1417" w:type="dxa"/>
            <w:textDirection w:val="lrTb"/>
            <w:noWrap w:val="false"/>
          </w:tcPr>
          <w:p>
            <w:pPr>
              <w:pBdr/>
              <w:spacing/>
              <w:ind w:firstLine="34"/>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4" w:space="0"/>
            </w:tcBorders>
            <w:tcW w:w="1134" w:type="dxa"/>
            <w:textDirection w:val="lrTb"/>
            <w:noWrap w:val="false"/>
          </w:tcPr>
          <w:p>
            <w:pPr>
              <w:pBdr/>
              <w:spacing/>
              <w:ind w:firstLine="567"/>
              <w:jc w:val="center"/>
              <w:rPr>
                <w:b/>
                <w:color w:val="auto"/>
                <w:highlight w:val="none"/>
              </w:rPr>
            </w:pPr>
            <w:r>
              <w:rPr>
                <w:b/>
                <w:color w:val="auto"/>
                <w:highlight w:val="none"/>
              </w:rPr>
            </w:r>
            <w:r>
              <w:rPr>
                <w:b/>
                <w:color w:val="auto"/>
                <w:highlight w:val="none"/>
              </w:rPr>
            </w:r>
            <w:r>
              <w:rPr>
                <w:b/>
                <w:color w:val="auto"/>
                <w:highlight w:val="none"/>
              </w:rPr>
            </w:r>
          </w:p>
        </w:tc>
        <w:tc>
          <w:tcPr>
            <w:tcBorders>
              <w:top w:val="single" w:color="000000" w:sz="6" w:space="0"/>
              <w:left w:val="single" w:color="000000" w:sz="4" w:space="0"/>
              <w:bottom w:val="single" w:color="000000" w:sz="6" w:space="0"/>
              <w:right w:val="single" w:color="000000" w:sz="6" w:space="0"/>
            </w:tcBorders>
            <w:tcW w:w="1276" w:type="dxa"/>
            <w:vAlign w:val="center"/>
            <w:textDirection w:val="lrTb"/>
            <w:noWrap w:val="false"/>
          </w:tcPr>
          <w:p>
            <w:pPr>
              <w:pBdr/>
              <w:spacing/>
              <w:ind/>
              <w:jc w:val="center"/>
              <w:rPr>
                <w:b/>
                <w:color w:val="auto"/>
                <w:highlight w:val="none"/>
              </w:rPr>
            </w:pPr>
            <w:r>
              <w:rPr>
                <w:b/>
                <w:color w:val="auto"/>
                <w:highlight w:val="none"/>
              </w:rPr>
            </w:r>
            <w:r>
              <w:rPr>
                <w:b/>
                <w:color w:val="auto"/>
                <w:highlight w:val="none"/>
              </w:rPr>
            </w:r>
            <w:r>
              <w:rPr>
                <w:b/>
                <w:color w:val="auto"/>
                <w:highlight w:val="none"/>
              </w:rPr>
            </w:r>
          </w:p>
        </w:tc>
      </w:tr>
      <w:tr>
        <w:trPr>
          <w:trHeight w:val="274"/>
        </w:trPr>
        <w:tc>
          <w:tcPr>
            <w:gridSpan w:val="8"/>
            <w:tcBorders>
              <w:top w:val="single" w:color="000000" w:sz="6" w:space="0"/>
              <w:left w:val="single" w:color="000000" w:sz="6" w:space="0"/>
              <w:bottom w:val="single" w:color="000000" w:sz="6" w:space="0"/>
              <w:right w:val="single" w:color="000000" w:sz="6" w:space="0"/>
            </w:tcBorders>
            <w:tcW w:w="10350" w:type="dxa"/>
            <w:textDirection w:val="lrTb"/>
            <w:noWrap w:val="false"/>
          </w:tcPr>
          <w:p>
            <w:pPr>
              <w:pBdr/>
              <w:spacing/>
              <w:ind w:firstLine="34"/>
              <w:rPr>
                <w:b/>
                <w:color w:val="auto"/>
                <w:highlight w:val="none"/>
              </w:rPr>
            </w:pPr>
            <w:r>
              <w:rPr>
                <w:b/>
                <w:color w:val="auto"/>
                <w:highlight w:val="none"/>
              </w:rPr>
              <w:t xml:space="preserve">Загальна вартість  пропозиції  _______</w:t>
            </w:r>
            <w:r>
              <w:rPr>
                <w:b/>
                <w:color w:val="auto"/>
                <w:highlight w:val="none"/>
              </w:rPr>
            </w:r>
            <w:r>
              <w:rPr>
                <w:b/>
                <w:color w:val="auto"/>
                <w:highlight w:val="none"/>
              </w:rPr>
            </w:r>
          </w:p>
          <w:p>
            <w:pPr>
              <w:pBdr/>
              <w:spacing/>
              <w:ind w:firstLine="34"/>
              <w:rPr>
                <w:b/>
                <w:color w:val="auto"/>
                <w:highlight w:val="none"/>
              </w:rPr>
            </w:pPr>
            <w:r>
              <w:rPr>
                <w:b/>
                <w:color w:val="auto"/>
                <w:highlight w:val="none"/>
              </w:rPr>
            </w:r>
            <w:r>
              <w:rPr>
                <w:b/>
                <w:color w:val="auto"/>
                <w:highlight w:val="none"/>
              </w:rPr>
            </w:r>
            <w:r>
              <w:rPr>
                <w:b/>
                <w:color w:val="auto"/>
                <w:highlight w:val="none"/>
              </w:rPr>
            </w:r>
          </w:p>
          <w:p>
            <w:pPr>
              <w:pBdr/>
              <w:spacing/>
              <w:ind w:firstLine="34"/>
              <w:jc w:val="right"/>
              <w:rPr>
                <w:b/>
                <w:color w:val="auto"/>
                <w:highlight w:val="none"/>
              </w:rPr>
            </w:pPr>
            <w:r>
              <w:rPr>
                <w:b/>
                <w:color w:val="auto"/>
                <w:highlight w:val="none"/>
              </w:rPr>
              <w:t xml:space="preserve">                  ______________   з ПДВ або без ПДВ (вказати суму) Σ</w:t>
            </w:r>
            <w:r>
              <w:rPr>
                <w:b/>
                <w:color w:val="auto"/>
                <w:highlight w:val="none"/>
              </w:rPr>
            </w:r>
            <w:r>
              <w:rPr>
                <w:b/>
                <w:color w:val="auto"/>
                <w:highlight w:val="none"/>
              </w:rPr>
            </w:r>
          </w:p>
        </w:tc>
      </w:tr>
    </w:tbl>
    <w:p>
      <w:pPr>
        <w:widowControl w:val="false"/>
        <w:pBdr/>
        <w:spacing/>
        <w:ind/>
        <w:jc w:val="both"/>
        <w:rPr>
          <w:i/>
          <w:color w:val="auto"/>
          <w:sz w:val="18"/>
          <w:szCs w:val="18"/>
          <w:highlight w:val="none"/>
        </w:rPr>
      </w:pPr>
      <w:r>
        <w:rPr>
          <w:i/>
          <w:color w:val="auto"/>
          <w:sz w:val="18"/>
          <w:szCs w:val="18"/>
          <w:highlight w:val="none"/>
        </w:rPr>
        <w:t xml:space="preserve">*учасник, платник ПДВ, має зазначити, ціну з ПДВ. Учасник, не платник ПДВ, має зазначити, ціну без ПДВ. </w:t>
      </w:r>
      <w:r>
        <w:rPr>
          <w:i/>
          <w:color w:val="auto"/>
          <w:sz w:val="18"/>
          <w:szCs w:val="18"/>
          <w:highlight w:val="none"/>
        </w:rPr>
      </w:r>
      <w:r>
        <w:rPr>
          <w:i/>
          <w:color w:val="auto"/>
          <w:sz w:val="18"/>
          <w:szCs w:val="18"/>
          <w:highlight w:val="none"/>
        </w:rPr>
      </w:r>
    </w:p>
    <w:p>
      <w:pPr>
        <w:widowControl w:val="false"/>
        <w:pBdr/>
        <w:spacing/>
        <w:ind/>
        <w:jc w:val="both"/>
        <w:rPr>
          <w:color w:val="auto"/>
          <w:highlight w:val="none"/>
        </w:rPr>
      </w:pPr>
      <w:r>
        <w:rPr>
          <w:color w:val="auto"/>
          <w:highlight w:val="none"/>
        </w:rPr>
        <w:t xml:space="preserve">2. До прийняття рішення про намір укласти договір про закупівлю, Ваша докуме</w:t>
      </w:r>
      <w:r>
        <w:rPr>
          <w:color w:val="auto"/>
          <w:highlight w:val="none"/>
        </w:rPr>
        <w:t xml:space="preserve">нтація разом з нашою тендерною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r>
        <w:rPr>
          <w:color w:val="auto"/>
          <w:highlight w:val="none"/>
        </w:rPr>
      </w:r>
      <w:r>
        <w:rPr>
          <w:color w:val="auto"/>
          <w:highlight w:val="none"/>
        </w:rPr>
      </w:r>
    </w:p>
    <w:p>
      <w:pPr>
        <w:widowControl w:val="false"/>
        <w:pBdr/>
        <w:spacing/>
        <w:ind w:firstLine="284"/>
        <w:jc w:val="both"/>
        <w:rPr>
          <w:color w:val="auto"/>
          <w:highlight w:val="none"/>
        </w:rPr>
      </w:pPr>
      <w:r>
        <w:rPr>
          <w:color w:val="auto"/>
          <w:highlight w:val="none"/>
        </w:rPr>
        <w:t xml:space="preserve">3. Ми погоджуємося дотримуватися умов цієї пропозиції протягом </w:t>
      </w:r>
      <w:r>
        <w:rPr>
          <w:b/>
          <w:color w:val="auto"/>
          <w:highlight w:val="none"/>
        </w:rPr>
        <w:t xml:space="preserve">90</w:t>
      </w:r>
      <w:r>
        <w:rPr>
          <w:i/>
          <w:color w:val="auto"/>
          <w:highlight w:val="none"/>
        </w:rPr>
        <w:t xml:space="preserve"> </w:t>
      </w:r>
      <w:r>
        <w:rPr>
          <w:color w:val="auto"/>
          <w:highlight w:val="none"/>
        </w:rPr>
        <w:t xml:space="preserve">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r>
        <w:rPr>
          <w:color w:val="auto"/>
          <w:highlight w:val="none"/>
        </w:rPr>
      </w:r>
      <w:r>
        <w:rPr>
          <w:color w:val="auto"/>
          <w:highlight w:val="none"/>
        </w:rPr>
      </w:r>
    </w:p>
    <w:p>
      <w:pPr>
        <w:pBdr/>
        <w:spacing/>
        <w:ind w:firstLine="360"/>
        <w:jc w:val="both"/>
        <w:rPr>
          <w:color w:val="auto"/>
          <w:highlight w:val="none"/>
        </w:rPr>
      </w:pPr>
      <w:r>
        <w:rPr>
          <w:color w:val="auto"/>
          <w:highlight w:val="none"/>
        </w:rPr>
        <w:t xml:space="preserve">4. Якщо нас буде визнано переможцем торгів, ми зобов’язуємося підписати Договір із Замовником не раніше ніж через 5 днів з дати оприлюднення в електронній системі </w:t>
      </w:r>
      <w:r>
        <w:rPr>
          <w:color w:val="auto"/>
          <w:highlight w:val="none"/>
        </w:rPr>
        <w:t xml:space="preserve">закупівель</w:t>
      </w:r>
      <w:r>
        <w:rPr>
          <w:color w:val="auto"/>
          <w:highlight w:val="none"/>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та надати </w:t>
      </w:r>
      <w:r>
        <w:rPr>
          <w:color w:val="auto"/>
          <w:highlight w:val="none"/>
        </w:rPr>
        <w:t xml:space="preserve">документи, що підтверджують відсутність підстав, передбачених </w:t>
      </w:r>
      <w:r>
        <w:rPr>
          <w:color w:val="auto"/>
          <w:highlight w:val="none"/>
        </w:rPr>
        <w:t xml:space="preserve">пунктом 47 Особливостей (для переможця)</w:t>
      </w:r>
      <w:r>
        <w:rPr>
          <w:color w:val="auto"/>
          <w:highlight w:val="none"/>
        </w:rPr>
        <w:t xml:space="preserve"> та які зазначені в пп.5.5. п.5 Розділу </w:t>
      </w:r>
      <w:r>
        <w:rPr>
          <w:color w:val="auto"/>
          <w:highlight w:val="none"/>
        </w:rPr>
        <w:t xml:space="preserve">ІІІ тендерної документації.</w:t>
      </w:r>
      <w:r>
        <w:rPr>
          <w:color w:val="auto"/>
          <w:highlight w:val="none"/>
        </w:rPr>
      </w:r>
      <w:r>
        <w:rPr>
          <w:color w:val="auto"/>
          <w:highlight w:val="none"/>
        </w:rPr>
      </w:r>
    </w:p>
    <w:p>
      <w:pPr>
        <w:widowControl w:val="false"/>
        <w:pBdr/>
        <w:spacing/>
        <w:ind w:firstLine="284"/>
        <w:jc w:val="both"/>
        <w:rPr>
          <w:i/>
          <w:color w:val="auto"/>
          <w:sz w:val="20"/>
          <w:szCs w:val="20"/>
          <w:highlight w:val="none"/>
        </w:rPr>
      </w:pPr>
      <w:r>
        <w:rPr>
          <w:i/>
          <w:color w:val="auto"/>
          <w:sz w:val="20"/>
          <w:szCs w:val="20"/>
          <w:highlight w:val="none"/>
        </w:rPr>
      </w:r>
      <w:r>
        <w:rPr>
          <w:i/>
          <w:color w:val="auto"/>
          <w:sz w:val="20"/>
          <w:szCs w:val="20"/>
          <w:highlight w:val="none"/>
        </w:rPr>
      </w:r>
      <w:r>
        <w:rPr>
          <w:i/>
          <w:color w:val="auto"/>
          <w:sz w:val="20"/>
          <w:szCs w:val="20"/>
          <w:highlight w:val="none"/>
        </w:rPr>
      </w:r>
    </w:p>
    <w:p>
      <w:pPr>
        <w:widowControl w:val="false"/>
        <w:pBdr/>
        <w:spacing/>
        <w:ind w:firstLine="284"/>
        <w:jc w:val="both"/>
        <w:rPr>
          <w:color w:val="auto"/>
          <w:sz w:val="20"/>
          <w:szCs w:val="20"/>
          <w:highlight w:val="none"/>
        </w:rPr>
      </w:pPr>
      <w:r>
        <w:rPr>
          <w:i/>
          <w:color w:val="auto"/>
          <w:sz w:val="20"/>
          <w:szCs w:val="20"/>
          <w:highlight w:val="none"/>
        </w:rPr>
        <w:t xml:space="preserve">Посада, прізвище, ініціали, підпис уповноваженої особи Учасника та печатка (за наявності)</w:t>
      </w:r>
      <w:r>
        <w:rPr>
          <w:color w:val="auto"/>
          <w:sz w:val="20"/>
          <w:szCs w:val="20"/>
          <w:highlight w:val="none"/>
        </w:rPr>
      </w:r>
      <w:r>
        <w:rPr>
          <w:color w:val="auto"/>
          <w:sz w:val="20"/>
          <w:szCs w:val="20"/>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widowControl w:val="false"/>
        <w:pBdr/>
        <w:tabs>
          <w:tab w:val="left" w:leader="none" w:pos="4860"/>
        </w:tabs>
        <w:spacing/>
        <w:ind/>
        <w:jc w:val="right"/>
        <w:rPr>
          <w:color w:val="auto"/>
          <w:highlight w:val="none"/>
        </w:rPr>
      </w:pPr>
      <w:r>
        <w:rPr>
          <w:color w:val="auto"/>
          <w:highlight w:val="none"/>
        </w:rPr>
      </w:r>
      <w:r>
        <w:rPr>
          <w:color w:val="auto"/>
          <w:highlight w:val="none"/>
        </w:rPr>
      </w:r>
      <w:r>
        <w:rPr>
          <w:color w:val="auto"/>
          <w:highlight w:val="none"/>
        </w:rPr>
      </w:r>
    </w:p>
    <w:p>
      <w:pPr>
        <w:pBdr/>
        <w:spacing/>
        <w:ind/>
        <w:jc w:val="right"/>
        <w:rPr>
          <w:b/>
          <w:i/>
          <w:color w:val="auto"/>
          <w:highlight w:val="none"/>
        </w:rPr>
      </w:pPr>
      <w:r>
        <w:rPr>
          <w:color w:val="auto"/>
          <w:highlight w:val="none"/>
        </w:rPr>
      </w:r>
      <w:bookmarkStart w:id="51" w:name="_2lwamvv"/>
      <w:r>
        <w:rPr>
          <w:color w:val="auto"/>
          <w:highlight w:val="none"/>
        </w:rPr>
      </w:r>
      <w:bookmarkEnd w:id="51"/>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Додаток №2</w:t>
      </w:r>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 до тендерної документації </w:t>
      </w:r>
      <w:r>
        <w:rPr>
          <w:b/>
          <w:i/>
          <w:color w:val="auto"/>
          <w:highlight w:val="none"/>
        </w:rPr>
      </w:r>
      <w:r>
        <w:rPr>
          <w:b/>
          <w:i/>
          <w:color w:val="auto"/>
          <w:highlight w:val="none"/>
        </w:rPr>
      </w:r>
    </w:p>
    <w:p>
      <w:pPr>
        <w:pBdr/>
        <w:spacing/>
        <w:ind w:firstLine="566"/>
        <w:jc w:val="center"/>
        <w:rPr>
          <w:b/>
          <w:color w:val="auto"/>
          <w:highlight w:val="none"/>
        </w:rPr>
      </w:pPr>
      <w:r>
        <w:rPr>
          <w:b/>
          <w:color w:val="auto"/>
          <w:highlight w:val="none"/>
        </w:rPr>
        <w:t xml:space="preserve">ПРОЄКТ ДОГОВОРУ № ___</w:t>
      </w:r>
      <w:r>
        <w:rPr>
          <w:b/>
          <w:color w:val="auto"/>
          <w:highlight w:val="none"/>
        </w:rPr>
      </w:r>
      <w:r>
        <w:rPr>
          <w:b/>
          <w:color w:val="auto"/>
          <w:highlight w:val="none"/>
        </w:rPr>
      </w:r>
    </w:p>
    <w:p>
      <w:pPr>
        <w:widowControl w:val="false"/>
        <w:pBdr/>
        <w:spacing w:after="200" w:line="192" w:lineRule="auto"/>
        <w:ind/>
        <w:jc w:val="center"/>
        <w:rPr>
          <w:color w:val="auto"/>
          <w:highlight w:val="none"/>
        </w:rPr>
      </w:pPr>
      <w:r>
        <w:rPr>
          <w:color w:val="auto"/>
          <w:highlight w:val="none"/>
          <w:lang w:eastAsia="ru-RU" w:bidi="ru-RU"/>
        </w:rPr>
        <w:t xml:space="preserve">на виконання проектних </w:t>
      </w:r>
      <w:r>
        <w:rPr>
          <w:color w:val="auto"/>
          <w:highlight w:val="none"/>
          <w:lang w:eastAsia="en-US"/>
        </w:rPr>
        <w:t xml:space="preserve">робіт</w:t>
      </w:r>
      <w:r>
        <w:rPr>
          <w:color w:val="auto"/>
          <w:highlight w:val="none"/>
        </w:rPr>
      </w:r>
      <w:r>
        <w:rPr>
          <w:color w:val="auto"/>
          <w:highlight w:val="none"/>
        </w:rPr>
      </w:r>
    </w:p>
    <w:p>
      <w:pPr>
        <w:widowControl w:val="false"/>
        <w:pBdr/>
        <w:tabs>
          <w:tab w:val="left" w:leader="underscore" w:pos="1798"/>
        </w:tabs>
        <w:spacing w:after="260"/>
        <w:ind w:right="380"/>
        <w:jc w:val="right"/>
        <w:rPr>
          <w:color w:val="auto"/>
          <w:highlight w:val="none"/>
        </w:rPr>
      </w:pPr>
      <w:r>
        <w:rPr>
          <w:color w:val="auto"/>
          <w:highlight w:val="none"/>
          <w:lang w:val="ru-RU"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928370</wp:posOffset>
                </wp:positionH>
                <wp:positionV relativeFrom="paragraph">
                  <wp:posOffset>12700</wp:posOffset>
                </wp:positionV>
                <wp:extent cx="461645" cy="186055"/>
                <wp:effectExtent l="0" t="0" r="0" b="0"/>
                <wp:wrapSquare wrapText="bothSides"/>
                <wp:docPr id="1" name="Надпись 12"/>
                <wp:cNvGraphicFramePr/>
                <a:graphic xmlns:a="http://schemas.openxmlformats.org/drawingml/2006/main">
                  <a:graphicData uri="http://schemas.microsoft.com/office/word/2010/wordprocessingShape">
                    <wps:wsp>
                      <wps:cNvPr id="0" name=""/>
                      <wps:cNvSpPr txBox="1"/>
                      <wps:spPr bwMode="auto">
                        <a:xfrm>
                          <a:off x="0" y="0"/>
                          <a:ext cx="461645" cy="186055"/>
                        </a:xfrm>
                        <a:prstGeom prst="rect">
                          <a:avLst/>
                        </a:prstGeom>
                        <a:noFill/>
                      </wps:spPr>
                      <wps:txbx>
                        <w:txbxContent>
                          <w:p>
                            <w:pPr>
                              <w:pStyle w:val="901"/>
                              <w:pBdr/>
                              <w:shd w:val="clear" w:color="auto" w:fill="auto"/>
                              <w:spacing/>
                              <w:ind/>
                              <w:rPr/>
                            </w:pPr>
                            <w:r>
                              <w:rPr>
                                <w:b/>
                                <w:bCs/>
                                <w:color w:val="000000"/>
                                <w:lang w:eastAsia="ru-RU" w:bidi="ru-RU"/>
                              </w:rPr>
                              <w:t xml:space="preserve">м. </w:t>
                            </w:r>
                            <w:r>
                              <w:rPr>
                                <w:b/>
                                <w:bCs/>
                                <w:color w:val="000000"/>
                              </w:rPr>
                              <w:t xml:space="preserve">Київ</w:t>
                            </w:r>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59264;o:allowoverlap:true;o:allowincell:true;mso-position-horizontal-relative:page;margin-left:73.10pt;mso-position-horizontal:absolute;mso-position-vertical-relative:text;margin-top:1.00pt;mso-position-vertical:absolute;width:36.35pt;height:14.65pt;mso-wrap-distance-left:9.00pt;mso-wrap-distance-top:0.00pt;mso-wrap-distance-right:9.00pt;mso-wrap-distance-bottom:0.00pt;visibility:visible;" filled="f">
                <w10:wrap type="square"/>
                <v:textbox inset="0,0,0,0">
                  <w:txbxContent>
                    <w:p>
                      <w:pPr>
                        <w:pStyle w:val="901"/>
                        <w:pBdr/>
                        <w:shd w:val="clear" w:color="auto" w:fill="auto"/>
                        <w:spacing/>
                        <w:ind/>
                        <w:rPr/>
                      </w:pPr>
                      <w:r>
                        <w:rPr>
                          <w:b/>
                          <w:bCs/>
                          <w:color w:val="000000"/>
                          <w:lang w:eastAsia="ru-RU" w:bidi="ru-RU"/>
                        </w:rPr>
                        <w:t xml:space="preserve">м. </w:t>
                      </w:r>
                      <w:r>
                        <w:rPr>
                          <w:b/>
                          <w:bCs/>
                          <w:color w:val="000000"/>
                        </w:rPr>
                        <w:t xml:space="preserve">Київ</w:t>
                      </w:r>
                      <w:r/>
                    </w:p>
                  </w:txbxContent>
                </v:textbox>
              </v:shape>
            </w:pict>
          </mc:Fallback>
        </mc:AlternateContent>
      </w:r>
      <w:r>
        <w:rPr>
          <w:b/>
          <w:bCs/>
          <w:color w:val="auto"/>
          <w:highlight w:val="none"/>
          <w:lang w:eastAsia="ru-RU" w:bidi="ru-RU"/>
        </w:rPr>
        <w:t xml:space="preserve">« ___ » ________________</w:t>
      </w:r>
      <w:r>
        <w:rPr>
          <w:b/>
          <w:bCs/>
          <w:color w:val="auto"/>
          <w:highlight w:val="none"/>
          <w:lang w:eastAsia="ru-RU" w:bidi="ru-RU"/>
        </w:rPr>
        <w:tab/>
        <w:t xml:space="preserve"> 2023 року</w:t>
      </w:r>
      <w:r>
        <w:rPr>
          <w:color w:val="auto"/>
          <w:highlight w:val="none"/>
        </w:rPr>
      </w:r>
      <w:r>
        <w:rPr>
          <w:color w:val="auto"/>
          <w:highlight w:val="none"/>
        </w:rPr>
      </w:r>
    </w:p>
    <w:p>
      <w:pPr>
        <w:widowControl w:val="false"/>
        <w:pBdr/>
        <w:tabs>
          <w:tab w:val="left" w:leader="underscore" w:pos="4800"/>
          <w:tab w:val="left" w:leader="underscore" w:pos="6960"/>
        </w:tabs>
        <w:spacing/>
        <w:ind w:firstLine="740"/>
        <w:jc w:val="both"/>
        <w:rPr>
          <w:color w:val="auto"/>
          <w:highlight w:val="none"/>
        </w:rPr>
      </w:pPr>
      <w:r>
        <w:rPr>
          <w:b/>
          <w:bCs/>
          <w:color w:val="auto"/>
          <w:highlight w:val="none"/>
          <w:lang w:eastAsia="en-US"/>
        </w:rPr>
      </w:r>
      <w:r>
        <w:rPr>
          <w:b/>
          <w:bCs/>
          <w:color w:val="auto"/>
          <w:highlight w:val="none"/>
          <w:lang w:eastAsia="en-US"/>
        </w:rPr>
        <w:t xml:space="preserve">Департамент муніципальної безпеки виконавчого органу Київської міської ради (Київської міської державної адміністрації)</w:t>
      </w:r>
      <w:r>
        <w:rPr>
          <w:color w:val="auto"/>
          <w:highlight w:val="none"/>
          <w:lang w:eastAsia="en-US"/>
        </w:rPr>
        <w:t xml:space="preserve">, надалі </w:t>
      </w:r>
      <w:r>
        <w:rPr>
          <w:color w:val="auto"/>
          <w:highlight w:val="none"/>
          <w:lang w:eastAsia="ru-RU" w:bidi="ru-RU"/>
        </w:rPr>
        <w:t xml:space="preserve">«</w:t>
      </w:r>
      <w:r>
        <w:rPr>
          <w:b/>
          <w:bCs/>
          <w:color w:val="auto"/>
          <w:highlight w:val="none"/>
          <w:lang w:eastAsia="ru-RU" w:bidi="ru-RU"/>
        </w:rPr>
        <w:t xml:space="preserve">Замовник</w:t>
      </w:r>
      <w:r>
        <w:rPr>
          <w:color w:val="auto"/>
          <w:highlight w:val="none"/>
          <w:lang w:eastAsia="ru-RU" w:bidi="ru-RU"/>
        </w:rPr>
        <w:t xml:space="preserve">» </w:t>
      </w:r>
      <w:r>
        <w:rPr>
          <w:color w:val="auto"/>
          <w:highlight w:val="none"/>
          <w:lang w:eastAsia="ru-RU" w:bidi="ru-RU"/>
        </w:rPr>
        <w:t xml:space="preserve">в особі директора ТКАЧУКА Романа Станіславовича, який діє на підставі Положення</w:t>
      </w:r>
      <w:r>
        <w:rPr>
          <w:color w:val="auto"/>
          <w:highlight w:val="none"/>
          <w:lang w:eastAsia="en-US"/>
        </w:rPr>
        <w:t xml:space="preserve">, </w:t>
      </w:r>
      <w:r>
        <w:rPr>
          <w:color w:val="auto"/>
          <w:highlight w:val="none"/>
          <w:lang w:eastAsia="ru-RU" w:bidi="ru-RU"/>
        </w:rPr>
        <w:t xml:space="preserve">з </w:t>
      </w:r>
      <w:r>
        <w:rPr>
          <w:color w:val="auto"/>
          <w:highlight w:val="none"/>
          <w:lang w:eastAsia="en-US"/>
        </w:rPr>
        <w:t xml:space="preserve">однієї </w:t>
      </w:r>
      <w:r>
        <w:rPr>
          <w:color w:val="auto"/>
          <w:highlight w:val="none"/>
          <w:lang w:eastAsia="ru-RU" w:bidi="ru-RU"/>
        </w:rPr>
        <w:t xml:space="preserve">сторони та </w:t>
      </w:r>
      <w:r>
        <w:rPr>
          <w:b/>
          <w:bCs/>
          <w:color w:val="auto"/>
          <w:highlight w:val="none"/>
          <w:lang w:eastAsia="ru-RU" w:bidi="ru-RU"/>
        </w:rPr>
        <w:t xml:space="preserve">_________________________________, </w:t>
      </w:r>
      <w:r>
        <w:rPr>
          <w:color w:val="auto"/>
          <w:highlight w:val="none"/>
          <w:lang w:eastAsia="ru-RU" w:bidi="ru-RU"/>
        </w:rPr>
        <w:t xml:space="preserve">в </w:t>
      </w:r>
      <w:r>
        <w:rPr>
          <w:color w:val="auto"/>
          <w:highlight w:val="none"/>
          <w:lang w:eastAsia="en-US"/>
        </w:rPr>
        <w:t xml:space="preserve">особі _____________________________________, </w:t>
      </w:r>
      <w:r>
        <w:rPr>
          <w:color w:val="auto"/>
          <w:highlight w:val="none"/>
          <w:lang w:eastAsia="ru-RU" w:bidi="ru-RU"/>
        </w:rPr>
        <w:t xml:space="preserve">який </w:t>
      </w:r>
      <w:r>
        <w:rPr>
          <w:color w:val="auto"/>
          <w:highlight w:val="none"/>
          <w:lang w:eastAsia="en-US"/>
        </w:rPr>
        <w:t xml:space="preserve">діє </w:t>
      </w:r>
      <w:r>
        <w:rPr>
          <w:color w:val="auto"/>
          <w:highlight w:val="none"/>
          <w:lang w:eastAsia="ru-RU" w:bidi="ru-RU"/>
        </w:rPr>
        <w:t xml:space="preserve">на </w:t>
      </w:r>
      <w:r>
        <w:rPr>
          <w:color w:val="auto"/>
          <w:highlight w:val="none"/>
          <w:lang w:eastAsia="en-US"/>
        </w:rPr>
        <w:t xml:space="preserve">підставі </w:t>
      </w:r>
      <w:r>
        <w:rPr>
          <w:color w:val="auto"/>
          <w:highlight w:val="none"/>
          <w:lang w:eastAsia="ru-RU" w:bidi="ru-RU"/>
        </w:rPr>
        <w:t xml:space="preserve">_______________________________________________________, </w:t>
      </w:r>
      <w:r>
        <w:rPr>
          <w:color w:val="auto"/>
          <w:highlight w:val="none"/>
          <w:lang w:eastAsia="en-US"/>
        </w:rPr>
        <w:t xml:space="preserve">іменоване </w:t>
      </w:r>
      <w:r>
        <w:rPr>
          <w:color w:val="auto"/>
          <w:highlight w:val="none"/>
          <w:lang w:eastAsia="ru-RU" w:bidi="ru-RU"/>
        </w:rPr>
        <w:t xml:space="preserve">в подальшому «</w:t>
      </w:r>
      <w:r>
        <w:rPr>
          <w:b/>
          <w:bCs/>
          <w:color w:val="auto"/>
          <w:highlight w:val="none"/>
          <w:lang w:eastAsia="ru-RU" w:bidi="ru-RU"/>
        </w:rPr>
        <w:t xml:space="preserve">Виконавець»</w:t>
      </w:r>
      <w:r>
        <w:rPr>
          <w:color w:val="auto"/>
          <w:highlight w:val="none"/>
          <w:lang w:eastAsia="ru-RU" w:bidi="ru-RU"/>
        </w:rPr>
        <w:t xml:space="preserve">, з </w:t>
      </w:r>
      <w:r>
        <w:rPr>
          <w:color w:val="auto"/>
          <w:highlight w:val="none"/>
          <w:lang w:eastAsia="en-US"/>
        </w:rPr>
        <w:t xml:space="preserve">іншої </w:t>
      </w:r>
      <w:r>
        <w:rPr>
          <w:color w:val="auto"/>
          <w:highlight w:val="none"/>
          <w:lang w:eastAsia="ru-RU" w:bidi="ru-RU"/>
        </w:rPr>
        <w:t xml:space="preserve">сторони, в подальшому разом </w:t>
      </w:r>
      <w:r>
        <w:rPr>
          <w:color w:val="auto"/>
          <w:highlight w:val="none"/>
          <w:lang w:eastAsia="en-US"/>
        </w:rPr>
        <w:t xml:space="preserve">іменовані </w:t>
      </w:r>
      <w:r>
        <w:rPr>
          <w:color w:val="auto"/>
          <w:highlight w:val="none"/>
          <w:lang w:eastAsia="ru-RU" w:bidi="ru-RU"/>
        </w:rPr>
        <w:t xml:space="preserve">«Сторони», а кожна </w:t>
      </w:r>
      <w:r>
        <w:rPr>
          <w:color w:val="auto"/>
          <w:highlight w:val="none"/>
          <w:lang w:eastAsia="en-US"/>
        </w:rPr>
        <w:t xml:space="preserve">окремо - «Сторона», уклали цей Договір на виконання проектних робіт (далі - Договір) про таке:</w:t>
      </w:r>
      <w:r>
        <w:rPr>
          <w:color w:val="auto"/>
          <w:highlight w:val="none"/>
        </w:rPr>
      </w:r>
      <w:r>
        <w:rPr>
          <w:color w:val="auto"/>
          <w:highlight w:val="none"/>
        </w:rPr>
      </w:r>
    </w:p>
    <w:p>
      <w:pPr>
        <w:keepNext w:val="true"/>
        <w:keepLines w:val="true"/>
        <w:widowControl w:val="false"/>
        <w:numPr>
          <w:ilvl w:val="0"/>
          <w:numId w:val="1"/>
        </w:numPr>
        <w:pBdr/>
        <w:tabs>
          <w:tab w:val="left" w:leader="none" w:pos="422"/>
        </w:tabs>
        <w:spacing/>
        <w:ind/>
        <w:jc w:val="center"/>
        <w:outlineLvl w:val="1"/>
        <w:rPr>
          <w:b/>
          <w:bCs/>
          <w:color w:val="auto"/>
          <w:highlight w:val="none"/>
        </w:rPr>
      </w:pPr>
      <w:r>
        <w:rPr>
          <w:color w:val="auto"/>
          <w:highlight w:val="none"/>
        </w:rPr>
      </w:r>
      <w:bookmarkStart w:id="52" w:name="bookmark17"/>
      <w:r>
        <w:rPr>
          <w:color w:val="auto"/>
          <w:highlight w:val="none"/>
        </w:rPr>
      </w:r>
      <w:bookmarkStart w:id="53" w:name="bookmark16"/>
      <w:r>
        <w:rPr>
          <w:b/>
          <w:bCs/>
          <w:color w:val="auto"/>
          <w:highlight w:val="none"/>
          <w:lang w:eastAsia="en-US"/>
        </w:rPr>
        <w:t xml:space="preserve">Предмет Договору</w:t>
      </w:r>
      <w:bookmarkEnd w:id="52"/>
      <w:r>
        <w:rPr>
          <w:color w:val="auto"/>
          <w:highlight w:val="none"/>
        </w:rPr>
      </w:r>
      <w:bookmarkEnd w:id="53"/>
      <w:r>
        <w:rPr>
          <w:b/>
          <w:bCs/>
          <w:color w:val="auto"/>
          <w:highlight w:val="none"/>
        </w:rPr>
      </w:r>
      <w:r>
        <w:rPr>
          <w:b/>
          <w:bCs/>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 порядку та на умовах, визначених цим Договором, Замовник доручає, а Виконавець приймає</w:t>
      </w:r>
      <w:r>
        <w:rPr>
          <w:color w:val="auto"/>
          <w:highlight w:val="none"/>
        </w:rPr>
      </w:r>
      <w:r>
        <w:rPr>
          <w:color w:val="auto"/>
          <w:highlight w:val="none"/>
        </w:rPr>
      </w:r>
    </w:p>
    <w:p>
      <w:pPr>
        <w:widowControl w:val="false"/>
        <w:pBdr/>
        <w:tabs>
          <w:tab w:val="left" w:leader="underscore" w:pos="6653"/>
        </w:tabs>
        <w:spacing/>
        <w:ind/>
        <w:jc w:val="both"/>
        <w:rPr>
          <w:color w:val="auto"/>
          <w:highlight w:val="none"/>
        </w:rPr>
      </w:pPr>
      <w:r>
        <w:rPr>
          <w:color w:val="auto"/>
          <w:highlight w:val="none"/>
          <w:lang w:eastAsia="en-US"/>
        </w:rPr>
        <w:t xml:space="preserve">на себе зобов'язання з </w:t>
      </w:r>
      <w:r>
        <w:rPr>
          <w:b/>
          <w:bCs/>
          <w:color w:val="auto"/>
          <w:highlight w:val="none"/>
          <w:lang w:eastAsia="en-US"/>
        </w:rPr>
        <w:t xml:space="preserve">виконання проектних робіт по об’єкту: </w:t>
      </w:r>
      <w:r>
        <w:rPr>
          <w:b/>
          <w:bCs/>
          <w:color w:val="auto"/>
          <w:highlight w:val="none"/>
          <w:lang w:eastAsia="en-US"/>
        </w:rPr>
        <w:t xml:space="preserve">«</w:t>
      </w:r>
      <w:r>
        <w:rPr>
          <w:b/>
          <w:bCs/>
          <w:color w:val="auto"/>
          <w:highlight w:val="none"/>
          <w:lang w:eastAsia="en-US"/>
        </w:rPr>
        <w:t xml:space="preserve">Нове будівництво будівлі </w:t>
      </w:r>
      <w:r>
        <w:rPr>
          <w:b/>
          <w:bCs/>
          <w:color w:val="auto"/>
          <w:highlight w:val="none"/>
          <w:lang w:eastAsia="en-US"/>
        </w:rPr>
        <w:t xml:space="preserve">пожежно</w:t>
      </w:r>
      <w:r>
        <w:rPr>
          <w:b/>
          <w:bCs/>
          <w:color w:val="auto"/>
          <w:highlight w:val="none"/>
          <w:lang w:eastAsia="en-US"/>
        </w:rPr>
        <w:t xml:space="preserve">-рятувальної частини Подільського району в </w:t>
      </w:r>
      <w:r>
        <w:rPr>
          <w:b/>
          <w:bCs/>
          <w:color w:val="auto"/>
          <w:highlight w:val="none"/>
          <w:lang w:eastAsia="en-US"/>
        </w:rPr>
        <w:t xml:space="preserve">м.Київ</w:t>
      </w:r>
      <w:r>
        <w:rPr>
          <w:b/>
          <w:bCs/>
          <w:color w:val="auto"/>
          <w:highlight w:val="none"/>
          <w:lang w:eastAsia="en-US"/>
        </w:rPr>
        <w:t xml:space="preserve"> на </w:t>
      </w:r>
      <w:r>
        <w:rPr>
          <w:b/>
          <w:bCs/>
          <w:color w:val="auto"/>
          <w:highlight w:val="none"/>
          <w:lang w:eastAsia="en-US"/>
        </w:rPr>
        <w:t xml:space="preserve">вул.Вишгородська</w:t>
      </w:r>
      <w:r>
        <w:rPr>
          <w:b/>
          <w:bCs/>
          <w:color w:val="auto"/>
          <w:highlight w:val="none"/>
          <w:lang w:eastAsia="en-US"/>
        </w:rPr>
        <w:t xml:space="preserve">, 21</w:t>
      </w:r>
      <w:r>
        <w:rPr>
          <w:b/>
          <w:bCs/>
          <w:color w:val="auto"/>
          <w:highlight w:val="none"/>
          <w:lang w:eastAsia="en-US"/>
        </w:rPr>
        <w:t xml:space="preserve">» </w:t>
      </w:r>
      <w:r>
        <w:rPr>
          <w:i/>
          <w:iCs/>
          <w:color w:val="auto"/>
          <w:highlight w:val="none"/>
          <w:lang w:eastAsia="en-US"/>
        </w:rPr>
        <w:t xml:space="preserve">(за кодом </w:t>
      </w:r>
      <w:r>
        <w:rPr>
          <w:i/>
          <w:iCs/>
          <w:color w:val="auto"/>
          <w:highlight w:val="none"/>
          <w:lang w:eastAsia="en-US" w:bidi="en-US"/>
        </w:rPr>
        <w:t xml:space="preserve">CPV </w:t>
      </w:r>
      <w:r>
        <w:rPr>
          <w:i/>
          <w:iCs/>
          <w:color w:val="auto"/>
          <w:highlight w:val="none"/>
          <w:lang w:eastAsia="en-US"/>
        </w:rPr>
        <w:t xml:space="preserve">за кодом ДК 021:2015 - 71240000-2 Архітектурні, інженерні та планувальні послуги (ІА01-9 Проектування та будівництво))</w:t>
      </w:r>
      <w:r>
        <w:rPr>
          <w:color w:val="auto"/>
          <w:highlight w:val="none"/>
          <w:lang w:eastAsia="en-US"/>
        </w:rPr>
        <w:t xml:space="preserve">.</w:t>
      </w:r>
      <w:r>
        <w:rPr>
          <w:color w:val="auto"/>
          <w:highlight w:val="none"/>
        </w:rPr>
      </w:r>
      <w:r>
        <w:rPr>
          <w:color w:val="auto"/>
          <w:highlight w:val="none"/>
        </w:rPr>
      </w:r>
    </w:p>
    <w:p>
      <w:pPr>
        <w:widowControl w:val="false"/>
        <w:pBdr/>
        <w:spacing/>
        <w:ind/>
        <w:jc w:val="both"/>
        <w:rPr>
          <w:color w:val="auto"/>
          <w:highlight w:val="none"/>
        </w:rPr>
      </w:pPr>
      <w:r>
        <w:rPr>
          <w:color w:val="auto"/>
          <w:highlight w:val="none"/>
          <w:lang w:eastAsia="en-US"/>
        </w:rPr>
        <w:t xml:space="preserve">Роботи виконуються згідно з Календарним планом роботи, що є додатком до цього Договору та являється його невід'ємною частиною (в подальшому - «Додаток №3»)</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Замовник доручає, а Виконавець зобов'язується виконати роботи згідно п.1.1. цього Договору.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Роботи виконуються згідно з Завданням на проектування, державними будівельними нормами, правилами та розцінками на проектно-вишукувальні роботи, вихідними даними, наданими Замовником.</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Результатом робіт, визначених в п.1.1, п.1.2. Договору є - проектно-кошторисна</w:t>
      </w:r>
      <w:r>
        <w:rPr>
          <w:color w:val="auto"/>
          <w:highlight w:val="none"/>
          <w:lang w:val="ru-RU" w:eastAsia="en-US"/>
        </w:rPr>
        <w:t xml:space="preserve"> </w:t>
      </w:r>
      <w:r>
        <w:rPr>
          <w:color w:val="auto"/>
          <w:highlight w:val="none"/>
          <w:lang w:eastAsia="en-US"/>
        </w:rPr>
        <w:t xml:space="preserve">документація.</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Виконавець приступає до виконання проектних робіт за Договором не пізніше 7-ми (семи) календарних днів з моменту підписання Договору Сторонами та отримання від Замовника Завдання на проектування.</w:t>
      </w:r>
      <w:r>
        <w:rPr>
          <w:color w:val="auto"/>
          <w:highlight w:val="none"/>
        </w:rPr>
      </w:r>
      <w:r>
        <w:rPr>
          <w:color w:val="auto"/>
          <w:highlight w:val="none"/>
        </w:rPr>
      </w:r>
    </w:p>
    <w:p>
      <w:pPr>
        <w:widowControl w:val="false"/>
        <w:numPr>
          <w:ilvl w:val="1"/>
          <w:numId w:val="1"/>
        </w:numPr>
        <w:pBdr/>
        <w:tabs>
          <w:tab w:val="left" w:leader="none" w:pos="579"/>
        </w:tabs>
        <w:spacing/>
        <w:ind/>
        <w:jc w:val="both"/>
        <w:rPr>
          <w:color w:val="auto"/>
          <w:highlight w:val="none"/>
        </w:rPr>
      </w:pPr>
      <w:r>
        <w:rPr>
          <w:color w:val="auto"/>
          <w:highlight w:val="none"/>
          <w:lang w:eastAsia="en-US"/>
        </w:rPr>
        <w:t xml:space="preserve">Замовник зобов</w:t>
      </w:r>
      <w:r>
        <w:rPr>
          <w:rFonts w:ascii="Arial" w:hAnsi="Arial" w:eastAsia="Arial" w:cs="Arial"/>
          <w:color w:val="auto"/>
          <w:highlight w:val="none"/>
          <w:lang w:eastAsia="en-US"/>
        </w:rPr>
        <w:t xml:space="preserve">'</w:t>
      </w:r>
      <w:r>
        <w:rPr>
          <w:color w:val="auto"/>
          <w:highlight w:val="none"/>
          <w:lang w:eastAsia="en-US"/>
        </w:rPr>
        <w:t xml:space="preserve">язується прийняти та оплатити виконані відповідно до п.1.1 роботи в порядку, передбаченому цим Договором.</w:t>
      </w:r>
      <w:r>
        <w:rPr>
          <w:color w:val="auto"/>
          <w:highlight w:val="none"/>
        </w:rPr>
      </w:r>
      <w:r>
        <w:rPr>
          <w:color w:val="auto"/>
          <w:highlight w:val="none"/>
        </w:rPr>
      </w:r>
    </w:p>
    <w:p>
      <w:pPr>
        <w:widowControl w:val="false"/>
        <w:numPr>
          <w:ilvl w:val="1"/>
          <w:numId w:val="1"/>
        </w:numPr>
        <w:pBdr/>
        <w:tabs>
          <w:tab w:val="left" w:leader="none" w:pos="589"/>
        </w:tabs>
        <w:spacing/>
        <w:ind/>
        <w:jc w:val="both"/>
        <w:rPr>
          <w:color w:val="auto"/>
          <w:highlight w:val="none"/>
        </w:rPr>
      </w:pPr>
      <w:r>
        <w:rPr>
          <w:color w:val="auto"/>
          <w:highlight w:val="none"/>
          <w:lang w:eastAsia="en-US"/>
        </w:rPr>
        <w:t xml:space="preserve">За необхідності залучення до виконання робіт спеціалізованих проектних організацій, </w:t>
      </w:r>
      <w:r>
        <w:rPr>
          <w:color w:val="auto"/>
          <w:highlight w:val="none"/>
          <w:lang w:eastAsia="en-US"/>
        </w:rPr>
        <w:t xml:space="preserve">Виконавець має право самостійно в процесі проектування залучати організації на умовах субпідряду без додаткового погодження з </w:t>
      </w:r>
      <w:r>
        <w:rPr>
          <w:color w:val="auto"/>
          <w:highlight w:val="none"/>
          <w:lang w:eastAsia="en-US"/>
        </w:rPr>
        <w:t xml:space="preserve">Замвником</w:t>
      </w:r>
      <w:r>
        <w:rPr>
          <w:color w:val="auto"/>
          <w:highlight w:val="none"/>
          <w:lang w:eastAsia="en-US"/>
        </w:rPr>
        <w:t xml:space="preserve">, окрім випадків коли вартість субпідрядних робіт перевищує 20%, тоді залучення субпідрядників виконується тільки з письмового погодження Замовника.</w:t>
      </w:r>
      <w:r>
        <w:rPr>
          <w:color w:val="auto"/>
          <w:highlight w:val="none"/>
        </w:rPr>
      </w:r>
      <w:r>
        <w:rPr>
          <w:color w:val="auto"/>
          <w:highlight w:val="none"/>
        </w:rPr>
      </w:r>
    </w:p>
    <w:p>
      <w:pPr>
        <w:keepNext w:val="true"/>
        <w:keepLines w:val="true"/>
        <w:widowControl w:val="false"/>
        <w:numPr>
          <w:ilvl w:val="0"/>
          <w:numId w:val="1"/>
        </w:numPr>
        <w:pBdr/>
        <w:spacing/>
        <w:ind/>
        <w:jc w:val="center"/>
        <w:outlineLvl w:val="1"/>
        <w:rPr>
          <w:b/>
          <w:bCs/>
          <w:color w:val="auto"/>
          <w:highlight w:val="none"/>
        </w:rPr>
      </w:pPr>
      <w:r>
        <w:rPr>
          <w:color w:val="auto"/>
          <w:highlight w:val="none"/>
        </w:rPr>
      </w:r>
      <w:bookmarkStart w:id="54" w:name="bookmark19"/>
      <w:r>
        <w:rPr>
          <w:color w:val="auto"/>
          <w:highlight w:val="none"/>
        </w:rPr>
      </w:r>
      <w:bookmarkStart w:id="55" w:name="bookmark18"/>
      <w:r>
        <w:rPr>
          <w:b/>
          <w:bCs/>
          <w:color w:val="auto"/>
          <w:highlight w:val="none"/>
          <w:lang w:eastAsia="en-US"/>
        </w:rPr>
        <w:t xml:space="preserve">Терміни виконання робіт</w:t>
      </w:r>
      <w:bookmarkEnd w:id="54"/>
      <w:r>
        <w:rPr>
          <w:color w:val="auto"/>
          <w:highlight w:val="none"/>
        </w:rPr>
      </w:r>
      <w:bookmarkEnd w:id="55"/>
      <w:r>
        <w:rPr>
          <w:b/>
          <w:bCs/>
          <w:color w:val="auto"/>
          <w:highlight w:val="none"/>
        </w:rPr>
      </w:r>
      <w:r>
        <w:rPr>
          <w:b/>
          <w:bCs/>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Термін виконання робіт:</w:t>
      </w:r>
      <w:r>
        <w:rPr>
          <w:color w:val="auto"/>
          <w:highlight w:val="none"/>
        </w:rPr>
      </w:r>
      <w:r>
        <w:rPr>
          <w:color w:val="auto"/>
          <w:highlight w:val="none"/>
        </w:rPr>
      </w:r>
    </w:p>
    <w:p>
      <w:pPr>
        <w:widowControl w:val="false"/>
        <w:pBdr/>
        <w:tabs>
          <w:tab w:val="left" w:leader="underscore" w:pos="3821"/>
        </w:tabs>
        <w:spacing/>
        <w:ind/>
        <w:jc w:val="both"/>
        <w:rPr>
          <w:color w:val="auto"/>
          <w:highlight w:val="none"/>
        </w:rPr>
      </w:pPr>
      <w:r>
        <w:rPr>
          <w:color w:val="auto"/>
          <w:highlight w:val="none"/>
          <w:lang w:eastAsia="en-US"/>
        </w:rPr>
        <w:t xml:space="preserve">початок: з моменту укладання Договору; </w:t>
      </w:r>
      <w:r>
        <w:rPr>
          <w:color w:val="auto"/>
          <w:highlight w:val="none"/>
        </w:rPr>
      </w:r>
      <w:r>
        <w:rPr>
          <w:color w:val="auto"/>
          <w:highlight w:val="none"/>
        </w:rPr>
      </w:r>
    </w:p>
    <w:p>
      <w:pPr>
        <w:widowControl w:val="false"/>
        <w:pBdr/>
        <w:tabs>
          <w:tab w:val="left" w:leader="underscore" w:pos="3821"/>
        </w:tabs>
        <w:spacing/>
        <w:ind/>
        <w:jc w:val="both"/>
        <w:rPr>
          <w:color w:val="auto"/>
          <w:highlight w:val="none"/>
        </w:rPr>
      </w:pPr>
      <w:r>
        <w:rPr>
          <w:color w:val="auto"/>
          <w:highlight w:val="none"/>
          <w:lang w:eastAsia="en-US"/>
        </w:rPr>
        <w:t xml:space="preserve">закінчення</w:t>
      </w:r>
      <w:r>
        <w:rPr>
          <w:b/>
          <w:bCs/>
          <w:color w:val="auto"/>
          <w:highlight w:val="none"/>
          <w:lang w:eastAsia="en-US"/>
        </w:rPr>
        <w:t xml:space="preserve">: </w:t>
      </w:r>
      <w:r>
        <w:rPr>
          <w:b/>
          <w:color w:val="auto"/>
          <w:highlight w:val="none"/>
          <w:lang w:eastAsia="en-US"/>
        </w:rPr>
        <w:t xml:space="preserve">до </w:t>
      </w:r>
      <w:r>
        <w:rPr>
          <w:b/>
          <w:color w:val="auto"/>
          <w:highlight w:val="none"/>
          <w:lang w:val="ru-RU"/>
        </w:rPr>
        <w:t xml:space="preserve">29</w:t>
      </w:r>
      <w:r>
        <w:rPr>
          <w:b/>
          <w:color w:val="auto"/>
          <w:highlight w:val="none"/>
          <w:lang w:eastAsia="en-US"/>
        </w:rPr>
        <w:t xml:space="preserve">.</w:t>
      </w:r>
      <w:r>
        <w:rPr>
          <w:b/>
          <w:color w:val="auto"/>
          <w:highlight w:val="none"/>
          <w:lang w:val="ru-RU"/>
        </w:rPr>
        <w:t xml:space="preserve">12</w:t>
      </w:r>
      <w:r>
        <w:rPr>
          <w:b/>
          <w:color w:val="auto"/>
          <w:highlight w:val="none"/>
          <w:lang w:eastAsia="en-US"/>
        </w:rPr>
        <w:t xml:space="preserve">.202</w:t>
      </w:r>
      <w:r>
        <w:rPr>
          <w:b/>
          <w:color w:val="auto"/>
          <w:highlight w:val="none"/>
          <w:lang w:val="ru-RU"/>
        </w:rPr>
        <w:t xml:space="preserve">3</w:t>
      </w:r>
      <w:r>
        <w:rPr>
          <w:b/>
          <w:color w:val="auto"/>
          <w:highlight w:val="none"/>
          <w:lang w:eastAsia="en-US"/>
        </w:rPr>
        <w:t xml:space="preserve"> </w:t>
      </w:r>
      <w:r>
        <w:rPr>
          <w:b/>
          <w:bCs/>
          <w:color w:val="auto"/>
          <w:highlight w:val="none"/>
          <w:lang w:eastAsia="en-US"/>
        </w:rPr>
        <w:t xml:space="preserve">року</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Зміст, терміни виконання та передачі Замовнику основних етапів робіт визначаються у Додатку №1.</w:t>
      </w:r>
      <w:r>
        <w:rPr>
          <w:color w:val="auto"/>
          <w:highlight w:val="none"/>
        </w:rPr>
      </w:r>
      <w:r>
        <w:rPr>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Терміни виконання робіт можуть бути змінені (з оформленням додаткової угоди) у разі:</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внесення змін у завдання на проектування;</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в залежності від обсягів реального фінансування;</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у випадках виникнення інших обставин які потребують подовження термінів, за взаємним погодженням сторін (в тому числі пов’язаних з отриманням вихідних даних та погодження прийнятих рішень).</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56" w:name="bookmark21"/>
      <w:r>
        <w:rPr>
          <w:color w:val="auto"/>
          <w:highlight w:val="none"/>
        </w:rPr>
      </w:r>
      <w:bookmarkStart w:id="57" w:name="bookmark20"/>
      <w:r>
        <w:rPr>
          <w:b/>
          <w:bCs/>
          <w:color w:val="auto"/>
          <w:highlight w:val="none"/>
          <w:lang w:eastAsia="en-US"/>
        </w:rPr>
        <w:t xml:space="preserve">Вартість робіт і порядок проведення розрахунків.</w:t>
      </w:r>
      <w:bookmarkEnd w:id="56"/>
      <w:r>
        <w:rPr>
          <w:color w:val="auto"/>
          <w:highlight w:val="none"/>
        </w:rPr>
      </w:r>
      <w:bookmarkEnd w:id="57"/>
      <w:r>
        <w:rPr>
          <w:b/>
          <w:bCs/>
          <w:color w:val="auto"/>
          <w:highlight w:val="none"/>
        </w:rPr>
      </w:r>
      <w:r>
        <w:rPr>
          <w:b/>
          <w:bCs/>
          <w:color w:val="auto"/>
          <w:highlight w:val="none"/>
        </w:rPr>
      </w:r>
    </w:p>
    <w:p>
      <w:pPr>
        <w:widowControl w:val="false"/>
        <w:numPr>
          <w:ilvl w:val="1"/>
          <w:numId w:val="1"/>
        </w:numPr>
        <w:pBdr/>
        <w:tabs>
          <w:tab w:val="left" w:leader="none" w:pos="541"/>
        </w:tabs>
        <w:spacing/>
        <w:ind/>
        <w:jc w:val="both"/>
        <w:rPr>
          <w:color w:val="auto"/>
          <w:highlight w:val="none"/>
        </w:rPr>
      </w:pPr>
      <w:r>
        <w:rPr>
          <w:color w:val="auto"/>
          <w:highlight w:val="none"/>
          <w:lang w:eastAsia="en-US"/>
        </w:rPr>
        <w:t xml:space="preserve">Ціна Договору є динамічною та визначається на підставі Кошторисної норми України «Настанова з визначення вартості будівництва» (далі - Настанова), ціновою пропозицією та </w:t>
      </w:r>
      <w:r>
        <w:rPr>
          <w:color w:val="auto"/>
          <w:highlight w:val="none"/>
          <w:lang w:eastAsia="ru-RU" w:bidi="ru-RU"/>
        </w:rPr>
        <w:t xml:space="preserve">погоджена Сторонами в </w:t>
      </w:r>
      <w:r>
        <w:rPr>
          <w:color w:val="auto"/>
          <w:highlight w:val="none"/>
          <w:lang w:eastAsia="en-US"/>
        </w:rPr>
        <w:t xml:space="preserve">Протоколі </w:t>
      </w:r>
      <w:r>
        <w:rPr>
          <w:color w:val="auto"/>
          <w:highlight w:val="none"/>
          <w:lang w:eastAsia="ru-RU" w:bidi="ru-RU"/>
        </w:rPr>
        <w:t xml:space="preserve">погодження </w:t>
      </w:r>
      <w:r>
        <w:rPr>
          <w:color w:val="auto"/>
          <w:highlight w:val="none"/>
          <w:lang w:eastAsia="en-US"/>
        </w:rPr>
        <w:t xml:space="preserve">договірної ціни, </w:t>
      </w:r>
      <w:r>
        <w:rPr>
          <w:color w:val="auto"/>
          <w:highlight w:val="none"/>
          <w:lang w:eastAsia="ru-RU" w:bidi="ru-RU"/>
        </w:rPr>
        <w:t xml:space="preserve">що </w:t>
      </w:r>
      <w:r>
        <w:rPr>
          <w:color w:val="auto"/>
          <w:highlight w:val="none"/>
          <w:lang w:eastAsia="en-US"/>
        </w:rPr>
        <w:t xml:space="preserve">є </w:t>
      </w:r>
      <w:r>
        <w:rPr>
          <w:color w:val="auto"/>
          <w:highlight w:val="none"/>
          <w:lang w:eastAsia="ru-RU" w:bidi="ru-RU"/>
        </w:rPr>
        <w:t xml:space="preserve">додатком до цього Договору </w:t>
      </w:r>
      <w:r>
        <w:rPr>
          <w:color w:val="auto"/>
          <w:highlight w:val="none"/>
          <w:lang w:eastAsia="en-US"/>
        </w:rPr>
        <w:t xml:space="preserve">(в подальшому </w:t>
      </w:r>
      <w:r>
        <w:rPr>
          <w:color w:val="auto"/>
          <w:highlight w:val="none"/>
          <w:lang w:eastAsia="ru-RU" w:bidi="ru-RU"/>
        </w:rPr>
        <w:t xml:space="preserve">- </w:t>
      </w:r>
      <w:r>
        <w:rPr>
          <w:color w:val="auto"/>
          <w:highlight w:val="none"/>
          <w:lang w:eastAsia="en-US"/>
        </w:rPr>
        <w:t xml:space="preserve">«Додаток № 2»)</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Розрахунки за виконані роботи виконуються частинами, у розмірах визначених Додатком №3</w:t>
      </w:r>
      <w:r>
        <w:rPr>
          <w:color w:val="auto"/>
          <w:highlight w:val="none"/>
          <w:lang w:eastAsia="en-US"/>
        </w:rPr>
        <w:t xml:space="preserve">,  на підставі актів виконаних робіт</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Розрахунки за виконані роботи здійснюються відповідно до вимог Бюджетного кодексу України (ст.48 та ст.49).</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У разі затримки бюджетного фінансування, розрахунок здійснюється не пізніше </w:t>
      </w:r>
      <w:r>
        <w:rPr>
          <w:color w:val="auto"/>
          <w:highlight w:val="none"/>
          <w:lang w:val="ru-RU"/>
        </w:rPr>
        <w:t xml:space="preserve">2</w:t>
      </w:r>
      <w:r>
        <w:rPr>
          <w:color w:val="auto"/>
          <w:highlight w:val="none"/>
          <w:lang w:eastAsia="en-US"/>
        </w:rPr>
        <w:t xml:space="preserve"> (</w:t>
      </w:r>
      <w:r>
        <w:rPr>
          <w:color w:val="auto"/>
          <w:highlight w:val="none"/>
          <w:lang w:val="ru-RU"/>
        </w:rPr>
        <w:t xml:space="preserve">двох</w:t>
      </w:r>
      <w:r>
        <w:rPr>
          <w:color w:val="auto"/>
          <w:highlight w:val="none"/>
          <w:lang w:eastAsia="en-US"/>
        </w:rPr>
        <w:t xml:space="preserve">) </w:t>
      </w:r>
      <w:r>
        <w:rPr>
          <w:color w:val="auto"/>
          <w:highlight w:val="none"/>
          <w:lang w:val="ru-RU"/>
        </w:rPr>
        <w:t xml:space="preserve">календарних </w:t>
      </w:r>
      <w:r>
        <w:rPr>
          <w:color w:val="auto"/>
          <w:highlight w:val="none"/>
          <w:lang w:eastAsia="en-US"/>
        </w:rPr>
        <w:t xml:space="preserve">днів з дати отримання Замовником бюджетних коштів на фінансування проектних робіт на свій розрахунковий рахунок.</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Бюджетні зобов'язання за Договором виникають у разі наявності бюджетних призначень та надходження коштів на рахунок Замовника.</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Джерело фінансування – </w:t>
      </w:r>
      <w:r>
        <w:rPr>
          <w:color w:val="auto"/>
          <w:highlight w:val="none"/>
          <w:lang w:eastAsia="en-US"/>
        </w:rPr>
        <w:t xml:space="preserve">бюджетні кошти.</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Коригування договірної ціни оформлюється шляхом підписання додаткових угод до цього Договору.</w:t>
      </w:r>
      <w:r>
        <w:rPr>
          <w:color w:val="auto"/>
          <w:highlight w:val="none"/>
        </w:rPr>
      </w:r>
      <w:r>
        <w:rPr>
          <w:color w:val="auto"/>
          <w:highlight w:val="none"/>
        </w:rPr>
      </w:r>
    </w:p>
    <w:p>
      <w:pPr>
        <w:widowControl w:val="false"/>
        <w:numPr>
          <w:ilvl w:val="1"/>
          <w:numId w:val="1"/>
        </w:numPr>
        <w:pBdr/>
        <w:tabs>
          <w:tab w:val="left" w:leader="none" w:pos="560"/>
        </w:tabs>
        <w:spacing w:after="80"/>
        <w:ind/>
        <w:jc w:val="both"/>
        <w:rPr>
          <w:color w:val="auto"/>
          <w:highlight w:val="none"/>
        </w:rPr>
      </w:pPr>
      <w:r>
        <w:rPr>
          <w:color w:val="auto"/>
          <w:highlight w:val="none"/>
          <w:lang w:eastAsia="en-US"/>
        </w:rPr>
        <w:t xml:space="preserve">Ціни на роботи встановлюються в національній валюті України.</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58" w:name="bookmark23"/>
      <w:r>
        <w:rPr>
          <w:color w:val="auto"/>
          <w:highlight w:val="none"/>
        </w:rPr>
      </w:r>
      <w:bookmarkStart w:id="59" w:name="bookmark22"/>
      <w:r>
        <w:rPr>
          <w:b/>
          <w:bCs/>
          <w:color w:val="auto"/>
          <w:highlight w:val="none"/>
          <w:lang w:eastAsia="en-US"/>
        </w:rPr>
        <w:t xml:space="preserve">Порядок передачі і приймання проектних робіт</w:t>
      </w:r>
      <w:bookmarkEnd w:id="58"/>
      <w:r>
        <w:rPr>
          <w:color w:val="auto"/>
          <w:highlight w:val="none"/>
        </w:rPr>
      </w:r>
      <w:bookmarkEnd w:id="59"/>
      <w:r>
        <w:rPr>
          <w:b/>
          <w:bCs/>
          <w:color w:val="auto"/>
          <w:highlight w:val="none"/>
        </w:rPr>
      </w:r>
      <w:r>
        <w:rPr>
          <w:b/>
          <w:bCs/>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Передача Замовнику виконаних та належним чином оформлених робіт здійснюється згідно Акту приймання-передачі проектно-кошторисної документації, які готує Виконавець у двох примірниках та надає на узгодження Замовнику.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Виконавець надає Замовнику Акт приймання передачі проектно-кошторисної документації. До Актів Виконавець додає:</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проектно-кошторисну документацію у чотирьох примірниках на паперових носіях;</w:t>
      </w:r>
      <w:r>
        <w:rPr>
          <w:color w:val="auto"/>
          <w:highlight w:val="none"/>
        </w:rPr>
      </w:r>
      <w:r>
        <w:rPr>
          <w:color w:val="auto"/>
          <w:highlight w:val="none"/>
        </w:rPr>
      </w:r>
    </w:p>
    <w:p>
      <w:pPr>
        <w:widowControl w:val="false"/>
        <w:numPr>
          <w:ilvl w:val="0"/>
          <w:numId w:val="2"/>
        </w:numPr>
        <w:pBdr/>
        <w:tabs>
          <w:tab w:val="left" w:leader="none" w:pos="282"/>
        </w:tabs>
        <w:spacing/>
        <w:ind/>
        <w:jc w:val="both"/>
        <w:rPr>
          <w:color w:val="auto"/>
          <w:highlight w:val="none"/>
        </w:rPr>
      </w:pPr>
      <w:r>
        <w:rPr>
          <w:color w:val="auto"/>
          <w:highlight w:val="none"/>
          <w:lang w:eastAsia="en-US"/>
        </w:rPr>
        <w:t xml:space="preserve">проектно-кошторисну документацію в електронному вигляді;</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Замовник підписує та передає Виконавцю один примірник підписаного Акту приймання передачі проектно-кошторисної документації.</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У випадку дострокового виконання робіт Замовник має право достроково прийняти та оплатити виконані роботи при наявності фінансування.</w:t>
      </w:r>
      <w:r>
        <w:rPr>
          <w:color w:val="auto"/>
          <w:highlight w:val="none"/>
        </w:rPr>
      </w:r>
      <w:r>
        <w:rPr>
          <w:color w:val="auto"/>
          <w:highlight w:val="none"/>
        </w:rPr>
      </w:r>
    </w:p>
    <w:p>
      <w:pPr>
        <w:widowControl w:val="false"/>
        <w:numPr>
          <w:ilvl w:val="1"/>
          <w:numId w:val="1"/>
        </w:numPr>
        <w:pBdr/>
        <w:tabs>
          <w:tab w:val="left" w:leader="none" w:pos="560"/>
        </w:tabs>
        <w:spacing/>
        <w:ind/>
        <w:jc w:val="both"/>
        <w:rPr>
          <w:color w:val="auto"/>
          <w:highlight w:val="none"/>
        </w:rPr>
      </w:pPr>
      <w:r>
        <w:rPr>
          <w:color w:val="auto"/>
          <w:highlight w:val="none"/>
          <w:lang w:eastAsia="en-US"/>
        </w:rPr>
        <w:t xml:space="preserve">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w:t>
      </w:r>
      <w:r>
        <w:rPr>
          <w:color w:val="auto"/>
          <w:highlight w:val="none"/>
          <w:lang w:eastAsia="en-US"/>
        </w:rPr>
        <w:t xml:space="preserve">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w:t>
      </w:r>
      <w:r>
        <w:rPr>
          <w:color w:val="auto"/>
          <w:highlight w:val="none"/>
          <w:lang w:eastAsia="en-US"/>
        </w:rPr>
        <w:t xml:space="preserve">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ru-RU" w:bidi="ru-RU"/>
        </w:rPr>
        <w:t xml:space="preserve">При </w:t>
      </w:r>
      <w:r>
        <w:rPr>
          <w:color w:val="auto"/>
          <w:highlight w:val="none"/>
          <w:lang w:eastAsia="en-US"/>
        </w:rPr>
        <w:t xml:space="preserve">виконанні усіх робіт </w:t>
      </w:r>
      <w:r>
        <w:rPr>
          <w:color w:val="auto"/>
          <w:highlight w:val="none"/>
          <w:lang w:eastAsia="ru-RU" w:bidi="ru-RU"/>
        </w:rPr>
        <w:t xml:space="preserve">за цим Договором, Виконавець зобов'язаний дотримуватись вимог, що </w:t>
      </w:r>
      <w:r>
        <w:rPr>
          <w:color w:val="auto"/>
          <w:highlight w:val="none"/>
          <w:lang w:eastAsia="en-US"/>
        </w:rPr>
        <w:t xml:space="preserve">містяться </w:t>
      </w:r>
      <w:r>
        <w:rPr>
          <w:color w:val="auto"/>
          <w:highlight w:val="none"/>
          <w:lang w:eastAsia="ru-RU" w:bidi="ru-RU"/>
        </w:rPr>
        <w:t xml:space="preserve">в </w:t>
      </w:r>
      <w:r>
        <w:rPr>
          <w:color w:val="auto"/>
          <w:highlight w:val="none"/>
          <w:lang w:eastAsia="en-US"/>
        </w:rPr>
        <w:t xml:space="preserve">вихідних </w:t>
      </w:r>
      <w:r>
        <w:rPr>
          <w:color w:val="auto"/>
          <w:highlight w:val="none"/>
          <w:lang w:eastAsia="ru-RU" w:bidi="ru-RU"/>
        </w:rPr>
        <w:t xml:space="preserve">даних для проектування, а також </w:t>
      </w:r>
      <w:r>
        <w:rPr>
          <w:color w:val="auto"/>
          <w:highlight w:val="none"/>
          <w:lang w:eastAsia="en-US"/>
        </w:rPr>
        <w:t xml:space="preserve">усіх інших </w:t>
      </w:r>
      <w:r>
        <w:rPr>
          <w:color w:val="auto"/>
          <w:highlight w:val="none"/>
          <w:lang w:eastAsia="ru-RU" w:bidi="ru-RU"/>
        </w:rPr>
        <w:t xml:space="preserve">нормативних </w:t>
      </w:r>
      <w:r>
        <w:rPr>
          <w:color w:val="auto"/>
          <w:highlight w:val="none"/>
          <w:lang w:eastAsia="en-US"/>
        </w:rPr>
        <w:t xml:space="preserve">документів </w:t>
      </w:r>
      <w:r>
        <w:rPr>
          <w:color w:val="auto"/>
          <w:highlight w:val="none"/>
          <w:lang w:eastAsia="ru-RU" w:bidi="ru-RU"/>
        </w:rPr>
        <w:t xml:space="preserve">та цього Договору </w:t>
      </w:r>
      <w:r>
        <w:rPr>
          <w:color w:val="auto"/>
          <w:highlight w:val="none"/>
          <w:lang w:eastAsia="en-US"/>
        </w:rPr>
        <w:t xml:space="preserve">і має </w:t>
      </w:r>
      <w:r>
        <w:rPr>
          <w:color w:val="auto"/>
          <w:highlight w:val="none"/>
          <w:lang w:eastAsia="ru-RU" w:bidi="ru-RU"/>
        </w:rPr>
        <w:t xml:space="preserve">право </w:t>
      </w:r>
      <w:r>
        <w:rPr>
          <w:color w:val="auto"/>
          <w:highlight w:val="none"/>
          <w:lang w:eastAsia="en-US"/>
        </w:rPr>
        <w:t xml:space="preserve">відступити від </w:t>
      </w:r>
      <w:r>
        <w:rPr>
          <w:color w:val="auto"/>
          <w:highlight w:val="none"/>
          <w:lang w:eastAsia="ru-RU" w:bidi="ru-RU"/>
        </w:rPr>
        <w:t xml:space="preserve">них </w:t>
      </w:r>
      <w:r>
        <w:rPr>
          <w:color w:val="auto"/>
          <w:highlight w:val="none"/>
          <w:lang w:eastAsia="en-US"/>
        </w:rPr>
        <w:t xml:space="preserve">тільки </w:t>
      </w:r>
      <w:r>
        <w:rPr>
          <w:color w:val="auto"/>
          <w:highlight w:val="none"/>
          <w:lang w:eastAsia="ru-RU" w:bidi="ru-RU"/>
        </w:rPr>
        <w:t xml:space="preserve">за письмовою згодою Замовника.</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ru-RU" w:bidi="ru-RU"/>
        </w:rPr>
        <w:t xml:space="preserve">Виконавець при </w:t>
      </w:r>
      <w:r>
        <w:rPr>
          <w:color w:val="auto"/>
          <w:highlight w:val="none"/>
          <w:lang w:eastAsia="en-US"/>
        </w:rPr>
        <w:t xml:space="preserve">розробці проектно-кошторисної документації забезпечує:</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діючим нормативним документам;</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проектних рішень вихідним даним та дозвільним документам;</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експлуатаційну надійність та безпечність об'єкту проектування;</w:t>
      </w:r>
      <w:r>
        <w:rPr>
          <w:color w:val="auto"/>
          <w:highlight w:val="none"/>
        </w:rPr>
      </w:r>
      <w:r>
        <w:rPr>
          <w:color w:val="auto"/>
          <w:highlight w:val="none"/>
        </w:rPr>
      </w:r>
    </w:p>
    <w:p>
      <w:pPr>
        <w:widowControl w:val="false"/>
        <w:numPr>
          <w:ilvl w:val="0"/>
          <w:numId w:val="3"/>
        </w:numPr>
        <w:pBdr/>
        <w:tabs>
          <w:tab w:val="left" w:leader="none" w:pos="1436"/>
        </w:tabs>
        <w:spacing w:line="261" w:lineRule="auto"/>
        <w:ind w:firstLine="740"/>
        <w:jc w:val="both"/>
        <w:rPr>
          <w:color w:val="auto"/>
          <w:highlight w:val="none"/>
        </w:rPr>
      </w:pPr>
      <w:r>
        <w:rPr>
          <w:color w:val="auto"/>
          <w:highlight w:val="none"/>
          <w:lang w:eastAsia="en-US"/>
        </w:rPr>
        <w:t xml:space="preserve">відповідність обсягу та якості робіт умовам цього Договору.</w:t>
      </w:r>
      <w:r>
        <w:rPr>
          <w:color w:val="auto"/>
          <w:highlight w:val="none"/>
        </w:rPr>
      </w:r>
      <w:r>
        <w:rPr>
          <w:color w:val="auto"/>
          <w:highlight w:val="none"/>
        </w:rPr>
      </w:r>
    </w:p>
    <w:p>
      <w:pPr>
        <w:keepNext w:val="true"/>
        <w:keepLines w:val="true"/>
        <w:widowControl w:val="false"/>
        <w:numPr>
          <w:ilvl w:val="0"/>
          <w:numId w:val="1"/>
        </w:numPr>
        <w:pBdr/>
        <w:tabs>
          <w:tab w:val="left" w:leader="none" w:pos="382"/>
        </w:tabs>
        <w:spacing/>
        <w:ind/>
        <w:jc w:val="center"/>
        <w:outlineLvl w:val="1"/>
        <w:rPr>
          <w:b/>
          <w:bCs/>
          <w:color w:val="auto"/>
          <w:highlight w:val="none"/>
        </w:rPr>
      </w:pPr>
      <w:r>
        <w:rPr>
          <w:color w:val="auto"/>
          <w:highlight w:val="none"/>
        </w:rPr>
      </w:r>
      <w:bookmarkStart w:id="60" w:name="bookmark25"/>
      <w:r>
        <w:rPr>
          <w:color w:val="auto"/>
          <w:highlight w:val="none"/>
        </w:rPr>
      </w:r>
      <w:bookmarkStart w:id="61" w:name="bookmark24"/>
      <w:r>
        <w:rPr>
          <w:b/>
          <w:bCs/>
          <w:color w:val="auto"/>
          <w:highlight w:val="none"/>
          <w:lang w:eastAsia="en-US"/>
        </w:rPr>
        <w:t xml:space="preserve">Права та обов'язки Сторін</w:t>
      </w:r>
      <w:bookmarkEnd w:id="60"/>
      <w:r>
        <w:rPr>
          <w:color w:val="auto"/>
          <w:highlight w:val="none"/>
        </w:rPr>
      </w:r>
      <w:bookmarkEnd w:id="61"/>
      <w:r>
        <w:rPr>
          <w:b/>
          <w:bCs/>
          <w:color w:val="auto"/>
          <w:highlight w:val="none"/>
        </w:rPr>
      </w:r>
      <w:r>
        <w:rPr>
          <w:b/>
          <w:bCs/>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Замовник має право:</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w:t>
      </w:r>
      <w:r>
        <w:rPr>
          <w:color w:val="auto"/>
          <w:highlight w:val="none"/>
          <w:lang w:eastAsia="en-US"/>
        </w:rPr>
        <w:t xml:space="preserve">документації неналежного оформлення (відсутність печатки, підписів тощо), із описом зауважень.</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Виконувати контроль стану виконаних робіт шляхом отримання поточних напрацювань у форматі </w:t>
      </w:r>
      <w:r>
        <w:rPr>
          <w:color w:val="auto"/>
          <w:highlight w:val="none"/>
          <w:lang w:val="en-US" w:eastAsia="en-US"/>
        </w:rPr>
        <w:t xml:space="preserve">pdf</w:t>
      </w:r>
      <w:r>
        <w:rPr>
          <w:color w:val="auto"/>
          <w:highlight w:val="none"/>
          <w:lang w:val="ru-RU" w:eastAsia="en-US"/>
        </w:rPr>
        <w:t xml:space="preserve">. </w:t>
      </w:r>
      <w:r>
        <w:rPr>
          <w:color w:val="auto"/>
          <w:highlight w:val="none"/>
          <w:lang w:eastAsia="en-US"/>
        </w:rPr>
        <w:t xml:space="preserve">протягом 3-х робочих днів з дати</w:t>
      </w:r>
      <w:r>
        <w:rPr>
          <w:color w:val="auto"/>
          <w:highlight w:val="none"/>
          <w:lang w:val="ru-RU" w:eastAsia="en-US"/>
        </w:rPr>
        <w:t xml:space="preserve"> в</w:t>
      </w:r>
      <w:r>
        <w:rPr>
          <w:color w:val="auto"/>
          <w:highlight w:val="none"/>
          <w:lang w:eastAsia="en-US"/>
        </w:rPr>
        <w:t xml:space="preserve">ідповідного запиту.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Виконувати погодження тих чи інших прийнятих проектних рішень в процесі проектування.</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Ініціювати процес внесення змін та доповнень в обсяги проектних робіт з відповідним двостороннім підписанням додаткової угоди до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Ініціювати процес розірвання Договору з відповідним підписання актів фактично виконаних робіт. </w:t>
      </w:r>
      <w:r>
        <w:rPr>
          <w:color w:val="auto"/>
          <w:highlight w:val="none"/>
        </w:rPr>
      </w:r>
      <w:r>
        <w:rPr>
          <w:color w:val="auto"/>
          <w:highlight w:val="none"/>
        </w:rPr>
      </w:r>
    </w:p>
    <w:p>
      <w:pPr>
        <w:widowControl w:val="false"/>
        <w:numPr>
          <w:ilvl w:val="1"/>
          <w:numId w:val="1"/>
        </w:numPr>
        <w:pBdr/>
        <w:tabs>
          <w:tab w:val="left" w:leader="none" w:pos="742"/>
        </w:tabs>
        <w:spacing/>
        <w:ind/>
        <w:jc w:val="both"/>
        <w:rPr>
          <w:color w:val="auto"/>
          <w:highlight w:val="none"/>
        </w:rPr>
      </w:pPr>
      <w:r>
        <w:rPr>
          <w:color w:val="auto"/>
          <w:highlight w:val="none"/>
          <w:lang w:eastAsia="en-US"/>
        </w:rPr>
        <w:t xml:space="preserve">Виконавець має право:</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Своєчасно та в повному обсязі отримувати плату за виконані роботи;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від Замовника надання необхідних для проектування вихідних даних, листів, погоджень прийнятих проектних рішень.</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перерахування коштів за виконані роботи після передачі Замовнику необхідної документації та підписання Замовником Акту приймання-передачі виконаних проектних робіт з урахуванням п.3.2., п.3.3.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Вимагати підписання вищезазначених Актів виконаних робіт та приймання передачі проектної документації Замовником, у порядку визначеному розділом 4 даного Договору;</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На дострокове виконання робіт, передбачених даним Договором.</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Замовник зобов'язується:</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Прийняти та оплатити виконані роботи згідно Акту приймання передачі проектно- кошторисної документації відповідно до п.3.2. Договору з урахуванням вимог ст. 48 Бюджетного </w:t>
      </w:r>
      <w:r>
        <w:rPr>
          <w:color w:val="auto"/>
          <w:highlight w:val="none"/>
          <w:lang w:eastAsia="en-US"/>
        </w:rPr>
        <w:t xml:space="preserve">кодексу України.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Сприяти в доступі до об'єкту з метою проведення Виконавцем обстеження об'єкту, збору необхідних вихідних даних.</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Надати всі необхідні для проектування вихідні данні, в тому числі додаткові листи та інші матеріали.</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Приймати участь у процесі проектування шляхом надання своїх погоджень стосовно прийнятих проектних рішень (відповідь надається у термін не більше 3-х робочих днів з дня запиту).</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Виконавець зобов'язаний:</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Забезпечити виконання робіт у визначеному обсязі та у терміни, встановлені цим Договором;</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Погоджувати проектно-кошторисну документацію із Замовником.</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По закінченню виконання робіт надавати Акт приймання-передачі проектно-кошторисної документації.</w:t>
      </w:r>
      <w:r>
        <w:rPr>
          <w:color w:val="auto"/>
          <w:highlight w:val="none"/>
        </w:rPr>
      </w:r>
      <w:r>
        <w:rPr>
          <w:color w:val="auto"/>
          <w:highlight w:val="none"/>
        </w:rPr>
      </w:r>
    </w:p>
    <w:p>
      <w:pPr>
        <w:widowControl w:val="false"/>
        <w:numPr>
          <w:ilvl w:val="2"/>
          <w:numId w:val="1"/>
        </w:numPr>
        <w:pBdr/>
        <w:tabs>
          <w:tab w:val="left" w:leader="none" w:pos="742"/>
        </w:tabs>
        <w:spacing/>
        <w:ind/>
        <w:jc w:val="both"/>
        <w:rPr>
          <w:color w:val="auto"/>
          <w:highlight w:val="none"/>
        </w:rPr>
      </w:pPr>
      <w:r>
        <w:rPr>
          <w:color w:val="auto"/>
          <w:highlight w:val="none"/>
          <w:lang w:eastAsia="en-US"/>
        </w:rPr>
        <w:t xml:space="preserve">Отримати позитивний висновок на розроблену в складі робочого проекту проектно- кошторисну документацію.</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en-US"/>
        </w:rPr>
        <w:t xml:space="preserve">Забезпечити своєчасне оформлення податкових накладних з ПДВ, своєчасну (за один день до граничного терміну відповідно ПКУ) їх реєстрацію в єдиному реєстрі та направлення її на електронну адресу Замовнику в терміни установлені податковим кодексом України</w:t>
      </w:r>
      <w:r>
        <w:rPr>
          <w:color w:val="auto"/>
          <w:highlight w:val="none"/>
          <w:lang w:eastAsia="en-US"/>
        </w:rPr>
        <w:t xml:space="preserve"> </w:t>
      </w:r>
      <w:r>
        <w:rPr>
          <w:color w:val="auto"/>
          <w:highlight w:val="none"/>
          <w:lang w:eastAsia="en-US"/>
        </w:rPr>
        <w:t xml:space="preserve">(у разі, якщо Виконавець є платником ПДВ).</w:t>
      </w:r>
      <w:r>
        <w:rPr>
          <w:color w:val="auto"/>
          <w:highlight w:val="none"/>
        </w:rPr>
      </w:r>
      <w:r>
        <w:rPr>
          <w:color w:val="auto"/>
          <w:highlight w:val="none"/>
        </w:rPr>
      </w:r>
    </w:p>
    <w:p>
      <w:pPr>
        <w:keepNext w:val="true"/>
        <w:keepLines w:val="true"/>
        <w:widowControl w:val="false"/>
        <w:numPr>
          <w:ilvl w:val="0"/>
          <w:numId w:val="1"/>
        </w:numPr>
        <w:pBdr/>
        <w:tabs>
          <w:tab w:val="left" w:leader="none" w:pos="378"/>
        </w:tabs>
        <w:spacing/>
        <w:ind/>
        <w:jc w:val="center"/>
        <w:outlineLvl w:val="1"/>
        <w:rPr>
          <w:b/>
          <w:bCs/>
          <w:color w:val="auto"/>
          <w:highlight w:val="none"/>
        </w:rPr>
      </w:pPr>
      <w:r>
        <w:rPr>
          <w:color w:val="auto"/>
          <w:highlight w:val="none"/>
        </w:rPr>
      </w:r>
      <w:bookmarkStart w:id="62" w:name="bookmark27"/>
      <w:r>
        <w:rPr>
          <w:color w:val="auto"/>
          <w:highlight w:val="none"/>
        </w:rPr>
      </w:r>
      <w:bookmarkStart w:id="63" w:name="bookmark26"/>
      <w:r>
        <w:rPr>
          <w:b/>
          <w:bCs/>
          <w:color w:val="auto"/>
          <w:highlight w:val="none"/>
          <w:lang w:eastAsia="en-US"/>
        </w:rPr>
        <w:t xml:space="preserve">Відповідальність Сторін</w:t>
      </w:r>
      <w:bookmarkEnd w:id="62"/>
      <w:r>
        <w:rPr>
          <w:color w:val="auto"/>
          <w:highlight w:val="none"/>
        </w:rPr>
      </w:r>
      <w:bookmarkEnd w:id="63"/>
      <w:r>
        <w:rPr>
          <w:b/>
          <w:bCs/>
          <w:color w:val="auto"/>
          <w:highlight w:val="none"/>
        </w:rPr>
      </w:r>
      <w:r>
        <w:rPr>
          <w:b/>
          <w:bCs/>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r>
        <w:rPr>
          <w:color w:val="auto"/>
          <w:highlight w:val="none"/>
        </w:rPr>
      </w:r>
      <w:r>
        <w:rPr>
          <w:color w:val="auto"/>
          <w:highlight w:val="none"/>
        </w:rPr>
      </w:r>
    </w:p>
    <w:p>
      <w:pPr>
        <w:widowControl w:val="false"/>
        <w:numPr>
          <w:ilvl w:val="1"/>
          <w:numId w:val="1"/>
        </w:numPr>
        <w:pBdr/>
        <w:tabs>
          <w:tab w:val="left" w:leader="none" w:pos="571"/>
        </w:tabs>
        <w:spacing/>
        <w:ind/>
        <w:jc w:val="both"/>
        <w:rPr>
          <w:color w:val="auto"/>
          <w:highlight w:val="none"/>
        </w:rPr>
      </w:pPr>
      <w:r>
        <w:rPr>
          <w:color w:val="auto"/>
          <w:highlight w:val="none"/>
          <w:lang w:eastAsia="en-US"/>
        </w:rPr>
        <w:t xml:space="preserve">Виконавець несе відповідальність за порушення термінів здачі розробленої проектно- кошторисної документації, яке сталося з його вини</w:t>
      </w:r>
      <w:r>
        <w:rPr>
          <w:color w:val="auto"/>
          <w:highlight w:val="none"/>
          <w:lang w:eastAsia="en-US"/>
        </w:rPr>
        <w:t xml:space="preserve">.</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Виконавець не несе </w:t>
      </w:r>
      <w:r>
        <w:rPr>
          <w:color w:val="auto"/>
          <w:highlight w:val="none"/>
          <w:lang w:eastAsia="en-US"/>
        </w:rPr>
        <w:t xml:space="preserve">відповідальності </w:t>
      </w:r>
      <w:r>
        <w:rPr>
          <w:color w:val="auto"/>
          <w:highlight w:val="none"/>
          <w:lang w:eastAsia="ru-RU" w:bidi="ru-RU"/>
        </w:rPr>
        <w:t xml:space="preserve">за невиконання або неналежне виконання </w:t>
      </w:r>
      <w:r>
        <w:rPr>
          <w:color w:val="auto"/>
          <w:highlight w:val="none"/>
          <w:lang w:eastAsia="en-US"/>
        </w:rPr>
        <w:t xml:space="preserve">своїх </w:t>
      </w:r>
      <w:r>
        <w:rPr>
          <w:color w:val="auto"/>
          <w:highlight w:val="none"/>
          <w:lang w:eastAsia="ru-RU" w:bidi="ru-RU"/>
        </w:rPr>
        <w:t xml:space="preserve">зобов'язань з даним Договором, якщо воно сталося у зв'язку з </w:t>
      </w:r>
      <w:r>
        <w:rPr>
          <w:color w:val="auto"/>
          <w:highlight w:val="none"/>
          <w:lang w:eastAsia="en-US"/>
        </w:rPr>
        <w:t xml:space="preserve">діями </w:t>
      </w:r>
      <w:r>
        <w:rPr>
          <w:color w:val="auto"/>
          <w:highlight w:val="none"/>
          <w:lang w:eastAsia="ru-RU" w:bidi="ru-RU"/>
        </w:rPr>
        <w:t xml:space="preserve">або </w:t>
      </w:r>
      <w:r>
        <w:rPr>
          <w:color w:val="auto"/>
          <w:highlight w:val="none"/>
          <w:lang w:eastAsia="en-US"/>
        </w:rPr>
        <w:t xml:space="preserve">бездіяльністю </w:t>
      </w:r>
      <w:r>
        <w:rPr>
          <w:color w:val="auto"/>
          <w:highlight w:val="none"/>
          <w:lang w:eastAsia="ru-RU" w:bidi="ru-RU"/>
        </w:rPr>
        <w:t xml:space="preserve">Замовника, </w:t>
      </w:r>
      <w:r>
        <w:rPr>
          <w:color w:val="auto"/>
          <w:highlight w:val="none"/>
          <w:lang w:eastAsia="en-US"/>
        </w:rPr>
        <w:t xml:space="preserve">наслідком </w:t>
      </w:r>
      <w:r>
        <w:rPr>
          <w:color w:val="auto"/>
          <w:highlight w:val="none"/>
          <w:lang w:eastAsia="ru-RU" w:bidi="ru-RU"/>
        </w:rPr>
        <w:t xml:space="preserve">яких стало невиконання Замовником </w:t>
      </w:r>
      <w:r>
        <w:rPr>
          <w:color w:val="auto"/>
          <w:highlight w:val="none"/>
          <w:lang w:eastAsia="en-US"/>
        </w:rPr>
        <w:t xml:space="preserve">своїх </w:t>
      </w:r>
      <w:r>
        <w:rPr>
          <w:color w:val="auto"/>
          <w:highlight w:val="none"/>
          <w:lang w:eastAsia="ru-RU" w:bidi="ru-RU"/>
        </w:rPr>
        <w:t xml:space="preserve">власних зобов'язань за даним Договором перед Виконавцем.</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Замовник не несе </w:t>
      </w:r>
      <w:r>
        <w:rPr>
          <w:color w:val="auto"/>
          <w:highlight w:val="none"/>
          <w:lang w:eastAsia="en-US"/>
        </w:rPr>
        <w:t xml:space="preserve">відповідальність </w:t>
      </w:r>
      <w:r>
        <w:rPr>
          <w:color w:val="auto"/>
          <w:highlight w:val="none"/>
          <w:lang w:eastAsia="ru-RU" w:bidi="ru-RU"/>
        </w:rPr>
        <w:t xml:space="preserve">за порушення </w:t>
      </w:r>
      <w:r>
        <w:rPr>
          <w:color w:val="auto"/>
          <w:highlight w:val="none"/>
          <w:lang w:eastAsia="en-US"/>
        </w:rPr>
        <w:t xml:space="preserve">термінів </w:t>
      </w:r>
      <w:r>
        <w:rPr>
          <w:color w:val="auto"/>
          <w:highlight w:val="none"/>
          <w:lang w:eastAsia="ru-RU" w:bidi="ru-RU"/>
        </w:rPr>
        <w:t xml:space="preserve">оплати виконаних </w:t>
      </w:r>
      <w:r>
        <w:rPr>
          <w:color w:val="auto"/>
          <w:highlight w:val="none"/>
          <w:lang w:eastAsia="en-US"/>
        </w:rPr>
        <w:t xml:space="preserve">робіт, </w:t>
      </w:r>
      <w:r>
        <w:rPr>
          <w:color w:val="auto"/>
          <w:highlight w:val="none"/>
          <w:lang w:eastAsia="ru-RU" w:bidi="ru-RU"/>
        </w:rPr>
        <w:t xml:space="preserve">якщо воно сталося не з його вини, а пов'язане </w:t>
      </w:r>
      <w:r>
        <w:rPr>
          <w:color w:val="auto"/>
          <w:highlight w:val="none"/>
          <w:lang w:eastAsia="en-US"/>
        </w:rPr>
        <w:t xml:space="preserve">із </w:t>
      </w:r>
      <w:r>
        <w:rPr>
          <w:color w:val="auto"/>
          <w:highlight w:val="none"/>
          <w:lang w:eastAsia="ru-RU" w:bidi="ru-RU"/>
        </w:rPr>
        <w:t xml:space="preserve">затримкою перерахування бюджетних </w:t>
      </w:r>
      <w:r>
        <w:rPr>
          <w:color w:val="auto"/>
          <w:highlight w:val="none"/>
          <w:lang w:eastAsia="en-US"/>
        </w:rPr>
        <w:t xml:space="preserve">коштів </w:t>
      </w:r>
      <w:r>
        <w:rPr>
          <w:color w:val="auto"/>
          <w:highlight w:val="none"/>
          <w:lang w:eastAsia="ru-RU" w:bidi="ru-RU"/>
        </w:rPr>
        <w:t xml:space="preserve">на розрахунковий рахунок Замовника або </w:t>
      </w:r>
      <w:r>
        <w:rPr>
          <w:color w:val="auto"/>
          <w:highlight w:val="none"/>
          <w:lang w:eastAsia="en-US"/>
        </w:rPr>
        <w:t xml:space="preserve">відсутністю </w:t>
      </w:r>
      <w:r>
        <w:rPr>
          <w:color w:val="auto"/>
          <w:highlight w:val="none"/>
          <w:lang w:eastAsia="ru-RU" w:bidi="ru-RU"/>
        </w:rPr>
        <w:t xml:space="preserve">(нестачею) бюджетного </w:t>
      </w:r>
      <w:r>
        <w:rPr>
          <w:color w:val="auto"/>
          <w:highlight w:val="none"/>
          <w:lang w:eastAsia="en-US"/>
        </w:rPr>
        <w:t xml:space="preserve">фінансування </w:t>
      </w:r>
      <w:r>
        <w:rPr>
          <w:color w:val="auto"/>
          <w:highlight w:val="none"/>
          <w:lang w:eastAsia="ru-RU" w:bidi="ru-RU"/>
        </w:rPr>
        <w:t xml:space="preserve">на </w:t>
      </w:r>
      <w:r>
        <w:rPr>
          <w:color w:val="auto"/>
          <w:highlight w:val="none"/>
          <w:lang w:eastAsia="en-US"/>
        </w:rPr>
        <w:t xml:space="preserve">вказані цілі.</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За порушення </w:t>
      </w:r>
      <w:r>
        <w:rPr>
          <w:color w:val="auto"/>
          <w:highlight w:val="none"/>
          <w:lang w:eastAsia="en-US"/>
        </w:rPr>
        <w:t xml:space="preserve">термінів реєстрації </w:t>
      </w:r>
      <w:r>
        <w:rPr>
          <w:color w:val="auto"/>
          <w:highlight w:val="none"/>
          <w:lang w:eastAsia="ru-RU" w:bidi="ru-RU"/>
        </w:rPr>
        <w:t xml:space="preserve">податкових накладних з ПДВ Виконавець </w:t>
      </w:r>
      <w:r>
        <w:rPr>
          <w:color w:val="auto"/>
          <w:highlight w:val="none"/>
          <w:lang w:eastAsia="en-US"/>
        </w:rPr>
        <w:t xml:space="preserve">сплачує </w:t>
      </w:r>
      <w:r>
        <w:rPr>
          <w:color w:val="auto"/>
          <w:highlight w:val="none"/>
          <w:lang w:eastAsia="ru-RU" w:bidi="ru-RU"/>
        </w:rPr>
        <w:t xml:space="preserve">Замовнику штраф в </w:t>
      </w:r>
      <w:r>
        <w:rPr>
          <w:color w:val="auto"/>
          <w:highlight w:val="none"/>
          <w:lang w:eastAsia="en-US"/>
        </w:rPr>
        <w:t xml:space="preserve">розмірі </w:t>
      </w:r>
      <w:r>
        <w:rPr>
          <w:color w:val="auto"/>
          <w:highlight w:val="none"/>
          <w:lang w:eastAsia="ru-RU" w:bidi="ru-RU"/>
        </w:rPr>
        <w:t xml:space="preserve">суми ПДВ з урахуванням </w:t>
      </w:r>
      <w:r>
        <w:rPr>
          <w:color w:val="auto"/>
          <w:highlight w:val="none"/>
          <w:lang w:eastAsia="en-US"/>
        </w:rPr>
        <w:t xml:space="preserve">індексу інфляції</w:t>
      </w:r>
      <w:r>
        <w:rPr>
          <w:color w:val="auto"/>
          <w:highlight w:val="none"/>
          <w:lang w:eastAsia="en-US"/>
        </w:rPr>
        <w:t xml:space="preserve"> </w:t>
      </w:r>
      <w:r>
        <w:rPr>
          <w:color w:val="auto"/>
          <w:highlight w:val="none"/>
          <w:lang w:eastAsia="en-US"/>
        </w:rPr>
        <w:t xml:space="preserve">(у разі, якщо Виконавець є платником ПДВ).</w:t>
      </w:r>
      <w:r>
        <w:rPr>
          <w:color w:val="auto"/>
          <w:highlight w:val="none"/>
        </w:rPr>
      </w:r>
      <w:r>
        <w:rPr>
          <w:color w:val="auto"/>
          <w:highlight w:val="none"/>
        </w:rPr>
      </w:r>
    </w:p>
    <w:p>
      <w:pPr>
        <w:widowControl w:val="false"/>
        <w:numPr>
          <w:ilvl w:val="1"/>
          <w:numId w:val="1"/>
        </w:numPr>
        <w:pBdr/>
        <w:tabs>
          <w:tab w:val="left" w:leader="none" w:pos="500"/>
        </w:tabs>
        <w:spacing/>
        <w:ind/>
        <w:jc w:val="both"/>
        <w:rPr>
          <w:color w:val="auto"/>
          <w:highlight w:val="none"/>
        </w:rPr>
      </w:pPr>
      <w:r>
        <w:rPr>
          <w:color w:val="auto"/>
          <w:highlight w:val="none"/>
          <w:lang w:eastAsia="ru-RU" w:bidi="ru-RU"/>
        </w:rPr>
        <w:t xml:space="preserve">Сплата штрафних </w:t>
      </w:r>
      <w:r>
        <w:rPr>
          <w:color w:val="auto"/>
          <w:highlight w:val="none"/>
          <w:lang w:eastAsia="en-US"/>
        </w:rPr>
        <w:t xml:space="preserve">санкцій </w:t>
      </w:r>
      <w:r>
        <w:rPr>
          <w:color w:val="auto"/>
          <w:highlight w:val="none"/>
          <w:lang w:eastAsia="ru-RU" w:bidi="ru-RU"/>
        </w:rPr>
        <w:t xml:space="preserve">не </w:t>
      </w:r>
      <w:r>
        <w:rPr>
          <w:color w:val="auto"/>
          <w:highlight w:val="none"/>
          <w:lang w:eastAsia="en-US"/>
        </w:rPr>
        <w:t xml:space="preserve">звільняє </w:t>
      </w:r>
      <w:r>
        <w:rPr>
          <w:color w:val="auto"/>
          <w:highlight w:val="none"/>
          <w:lang w:eastAsia="ru-RU" w:bidi="ru-RU"/>
        </w:rPr>
        <w:t xml:space="preserve">Сторони </w:t>
      </w:r>
      <w:r>
        <w:rPr>
          <w:color w:val="auto"/>
          <w:highlight w:val="none"/>
          <w:lang w:eastAsia="en-US"/>
        </w:rPr>
        <w:t xml:space="preserve">від </w:t>
      </w:r>
      <w:r>
        <w:rPr>
          <w:color w:val="auto"/>
          <w:highlight w:val="none"/>
          <w:lang w:eastAsia="ru-RU" w:bidi="ru-RU"/>
        </w:rPr>
        <w:t xml:space="preserve">виконання зобов'язань за Договором у повному </w:t>
      </w:r>
      <w:r>
        <w:rPr>
          <w:color w:val="auto"/>
          <w:highlight w:val="none"/>
          <w:lang w:eastAsia="en-US"/>
        </w:rPr>
        <w:t xml:space="preserve">обсязі.</w:t>
      </w:r>
      <w:r>
        <w:rPr>
          <w:color w:val="auto"/>
          <w:highlight w:val="none"/>
        </w:rPr>
      </w:r>
      <w:r>
        <w:rPr>
          <w:color w:val="auto"/>
          <w:highlight w:val="none"/>
        </w:rPr>
      </w:r>
    </w:p>
    <w:p>
      <w:pPr>
        <w:keepNext w:val="true"/>
        <w:keepLines w:val="true"/>
        <w:widowControl w:val="false"/>
        <w:numPr>
          <w:ilvl w:val="0"/>
          <w:numId w:val="1"/>
        </w:numPr>
        <w:pBdr/>
        <w:tabs>
          <w:tab w:val="left" w:leader="none" w:pos="318"/>
        </w:tabs>
        <w:spacing/>
        <w:ind/>
        <w:jc w:val="center"/>
        <w:outlineLvl w:val="1"/>
        <w:rPr>
          <w:b/>
          <w:bCs/>
          <w:color w:val="auto"/>
          <w:highlight w:val="none"/>
        </w:rPr>
      </w:pPr>
      <w:r>
        <w:rPr>
          <w:color w:val="auto"/>
          <w:highlight w:val="none"/>
        </w:rPr>
      </w:r>
      <w:bookmarkStart w:id="64" w:name="bookmark29"/>
      <w:r>
        <w:rPr>
          <w:color w:val="auto"/>
          <w:highlight w:val="none"/>
        </w:rPr>
      </w:r>
      <w:bookmarkStart w:id="65" w:name="bookmark28"/>
      <w:r>
        <w:rPr>
          <w:b/>
          <w:bCs/>
          <w:color w:val="auto"/>
          <w:highlight w:val="none"/>
          <w:lang w:eastAsia="en-US"/>
        </w:rPr>
        <w:t xml:space="preserve">Авторські </w:t>
      </w:r>
      <w:r>
        <w:rPr>
          <w:b/>
          <w:bCs/>
          <w:color w:val="auto"/>
          <w:highlight w:val="none"/>
          <w:lang w:eastAsia="ru-RU" w:bidi="ru-RU"/>
        </w:rPr>
        <w:t xml:space="preserve">права</w:t>
      </w:r>
      <w:bookmarkEnd w:id="64"/>
      <w:r>
        <w:rPr>
          <w:color w:val="auto"/>
          <w:highlight w:val="none"/>
        </w:rPr>
      </w:r>
      <w:bookmarkEnd w:id="65"/>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Авторські майнові права належать Виконавцю та можуть бути передані на платній або безоплатній основі Замовнику по завершенню процесу проектування за згодою сторін.</w:t>
      </w:r>
      <w:r>
        <w:rPr>
          <w:color w:val="auto"/>
          <w:highlight w:val="none"/>
        </w:rPr>
      </w:r>
      <w:r>
        <w:rPr>
          <w:color w:val="auto"/>
          <w:highlight w:val="none"/>
        </w:rPr>
      </w:r>
    </w:p>
    <w:p>
      <w:pPr>
        <w:keepNext w:val="true"/>
        <w:keepLines w:val="true"/>
        <w:widowControl w:val="false"/>
        <w:numPr>
          <w:ilvl w:val="0"/>
          <w:numId w:val="1"/>
        </w:numPr>
        <w:pBdr/>
        <w:tabs>
          <w:tab w:val="left" w:leader="none" w:pos="318"/>
        </w:tabs>
        <w:spacing/>
        <w:ind/>
        <w:jc w:val="center"/>
        <w:outlineLvl w:val="1"/>
        <w:rPr>
          <w:b/>
          <w:bCs/>
          <w:color w:val="auto"/>
          <w:highlight w:val="none"/>
        </w:rPr>
      </w:pPr>
      <w:r>
        <w:rPr>
          <w:color w:val="auto"/>
          <w:highlight w:val="none"/>
        </w:rPr>
      </w:r>
      <w:bookmarkStart w:id="66" w:name="bookmark31"/>
      <w:r>
        <w:rPr>
          <w:color w:val="auto"/>
          <w:highlight w:val="none"/>
        </w:rPr>
      </w:r>
      <w:bookmarkStart w:id="67" w:name="bookmark30"/>
      <w:r>
        <w:rPr>
          <w:b/>
          <w:bCs/>
          <w:color w:val="auto"/>
          <w:highlight w:val="none"/>
          <w:lang w:eastAsia="en-US"/>
        </w:rPr>
        <w:t xml:space="preserve">Форс-мажор</w:t>
      </w:r>
      <w:bookmarkEnd w:id="66"/>
      <w:r>
        <w:rPr>
          <w:color w:val="auto"/>
          <w:highlight w:val="none"/>
        </w:rPr>
      </w:r>
      <w:bookmarkEnd w:id="67"/>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w:t>
      </w:r>
      <w:r>
        <w:rPr>
          <w:color w:val="auto"/>
          <w:highlight w:val="none"/>
          <w:lang w:eastAsia="en-US"/>
        </w:rPr>
        <w:t xml:space="preserve">форс-мажорних обставин, що виникли після укладання даного Договору.</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Під форс-мажорними обставинами слід вважати обставини, що знаходяться поза контролем волі Сторін даного Договору і які ро</w:t>
      </w:r>
      <w:r>
        <w:rPr>
          <w:color w:val="auto"/>
          <w:highlight w:val="none"/>
          <w:lang w:eastAsia="en-US"/>
        </w:rPr>
        <w:t xml:space="preserve">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і та ін.); пожежі, заборони експорту (імпорту), війна, блокада, вал</w:t>
      </w:r>
      <w:r>
        <w:rPr>
          <w:color w:val="auto"/>
          <w:highlight w:val="none"/>
          <w:lang w:eastAsia="en-US"/>
        </w:rPr>
        <w:t xml:space="preserve">ютні обмеження чи інші заходи урядів і урядових органів, правові зміни в законах, розпорядження державно-адміністративних органів, інші подібні обставини, що роблять неможливим виконання даного Договору і яким Сторони не могли запобігти розумними способом.</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w:t>
      </w:r>
      <w:r>
        <w:rPr>
          <w:color w:val="auto"/>
          <w:highlight w:val="none"/>
          <w:lang w:eastAsia="en-US"/>
        </w:rPr>
        <w:t xml:space="preserve">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торговою (торгово- промисловою) палатою чи іншими компетентними органами, організаціями, установами.</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Неповідомлення чи несвоєчасне повідомлення позбавляє Сторони права посилатися на будь- яку вищевказану обставину як на підставу, що звільняє від відповідальності за невиконання зобов'язання.</w:t>
      </w:r>
      <w:r>
        <w:rPr>
          <w:color w:val="auto"/>
          <w:highlight w:val="none"/>
        </w:rPr>
      </w:r>
      <w:r>
        <w:rPr>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Якщо неможливість виконання зобов'язань по даному Договору внаслідок дії форс-мажорних</w:t>
      </w:r>
      <w:r>
        <w:rPr>
          <w:color w:val="auto"/>
          <w:highlight w:val="none"/>
          <w:lang w:eastAsia="en-US"/>
        </w:rPr>
        <w:t xml:space="preserve">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 даного Договору.</w:t>
      </w:r>
      <w:r>
        <w:rPr>
          <w:color w:val="auto"/>
          <w:highlight w:val="none"/>
        </w:rPr>
      </w:r>
      <w:r>
        <w:rPr>
          <w:color w:val="auto"/>
          <w:highlight w:val="none"/>
        </w:rPr>
      </w:r>
    </w:p>
    <w:p>
      <w:pPr>
        <w:keepNext w:val="true"/>
        <w:keepLines w:val="true"/>
        <w:widowControl w:val="false"/>
        <w:numPr>
          <w:ilvl w:val="0"/>
          <w:numId w:val="1"/>
        </w:numPr>
        <w:pBdr/>
        <w:tabs>
          <w:tab w:val="left" w:leader="none" w:pos="322"/>
        </w:tabs>
        <w:spacing/>
        <w:ind/>
        <w:jc w:val="center"/>
        <w:outlineLvl w:val="1"/>
        <w:rPr>
          <w:b/>
          <w:bCs/>
          <w:color w:val="auto"/>
          <w:highlight w:val="none"/>
        </w:rPr>
      </w:pPr>
      <w:r>
        <w:rPr>
          <w:color w:val="auto"/>
          <w:highlight w:val="none"/>
        </w:rPr>
      </w:r>
      <w:bookmarkStart w:id="68" w:name="bookmark33"/>
      <w:r>
        <w:rPr>
          <w:color w:val="auto"/>
          <w:highlight w:val="none"/>
        </w:rPr>
      </w:r>
      <w:bookmarkStart w:id="69" w:name="bookmark32"/>
      <w:r>
        <w:rPr>
          <w:b/>
          <w:bCs/>
          <w:color w:val="auto"/>
          <w:highlight w:val="none"/>
          <w:lang w:eastAsia="en-US"/>
        </w:rPr>
        <w:t xml:space="preserve">Порядок вирішення спорів</w:t>
      </w:r>
      <w:bookmarkEnd w:id="68"/>
      <w:r>
        <w:rPr>
          <w:color w:val="auto"/>
          <w:highlight w:val="none"/>
        </w:rPr>
      </w:r>
      <w:bookmarkEnd w:id="69"/>
      <w:r>
        <w:rPr>
          <w:b/>
          <w:bCs/>
          <w:color w:val="auto"/>
          <w:highlight w:val="none"/>
        </w:rPr>
      </w:r>
      <w:r>
        <w:rPr>
          <w:b/>
          <w:bCs/>
          <w:color w:val="auto"/>
          <w:highlight w:val="none"/>
        </w:rPr>
      </w:r>
    </w:p>
    <w:p>
      <w:pPr>
        <w:widowControl w:val="false"/>
        <w:numPr>
          <w:ilvl w:val="1"/>
          <w:numId w:val="1"/>
        </w:numPr>
        <w:pBdr/>
        <w:tabs>
          <w:tab w:val="left" w:leader="none" w:pos="481"/>
        </w:tabs>
        <w:spacing/>
        <w:ind/>
        <w:jc w:val="both"/>
        <w:rPr>
          <w:color w:val="auto"/>
          <w:highlight w:val="none"/>
        </w:rPr>
      </w:pPr>
      <w:r>
        <w:rPr>
          <w:color w:val="auto"/>
          <w:highlight w:val="none"/>
          <w:lang w:eastAsia="en-US"/>
        </w:rPr>
        <w:t xml:space="preserve">Всі суперечки, які можуть виникнути під час виконання цього Договору, в першу чергу будуть вирішуватися шляхом переговорів між Сторонам</w:t>
      </w:r>
      <w:r>
        <w:rPr>
          <w:color w:val="auto"/>
          <w:highlight w:val="none"/>
          <w:lang w:eastAsia="en-US"/>
        </w:rPr>
        <w:t xml:space="preserve">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r>
        <w:rPr>
          <w:color w:val="auto"/>
          <w:highlight w:val="none"/>
        </w:rPr>
      </w:r>
      <w:r>
        <w:rPr>
          <w:color w:val="auto"/>
          <w:highlight w:val="none"/>
        </w:rPr>
      </w:r>
    </w:p>
    <w:p>
      <w:pPr>
        <w:widowControl w:val="false"/>
        <w:numPr>
          <w:ilvl w:val="0"/>
          <w:numId w:val="1"/>
        </w:numPr>
        <w:pBdr/>
        <w:tabs>
          <w:tab w:val="left" w:leader="none" w:pos="442"/>
        </w:tabs>
        <w:spacing/>
        <w:ind/>
        <w:jc w:val="center"/>
        <w:rPr>
          <w:color w:val="auto"/>
          <w:highlight w:val="none"/>
        </w:rPr>
      </w:pPr>
      <w:r>
        <w:rPr>
          <w:b/>
          <w:bCs/>
          <w:color w:val="auto"/>
          <w:highlight w:val="none"/>
          <w:lang w:eastAsia="en-US"/>
        </w:rPr>
        <w:t xml:space="preserve">Інші умови</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Цей </w:t>
      </w:r>
      <w:r>
        <w:rPr>
          <w:color w:val="auto"/>
          <w:highlight w:val="none"/>
          <w:lang w:eastAsia="en-US"/>
        </w:rPr>
        <w:t xml:space="preserve">Договір </w:t>
      </w:r>
      <w:r>
        <w:rPr>
          <w:color w:val="auto"/>
          <w:highlight w:val="none"/>
          <w:lang w:eastAsia="ru-RU" w:bidi="ru-RU"/>
        </w:rPr>
        <w:t xml:space="preserve">складений </w:t>
      </w:r>
      <w:r>
        <w:rPr>
          <w:color w:val="auto"/>
          <w:highlight w:val="none"/>
          <w:lang w:eastAsia="en-US"/>
        </w:rPr>
        <w:t xml:space="preserve">українською </w:t>
      </w:r>
      <w:r>
        <w:rPr>
          <w:color w:val="auto"/>
          <w:highlight w:val="none"/>
          <w:lang w:eastAsia="ru-RU" w:bidi="ru-RU"/>
        </w:rPr>
        <w:t xml:space="preserve">мовою, у двох </w:t>
      </w:r>
      <w:r>
        <w:rPr>
          <w:color w:val="auto"/>
          <w:highlight w:val="none"/>
          <w:lang w:eastAsia="en-US"/>
        </w:rPr>
        <w:t xml:space="preserve">примірниках, </w:t>
      </w:r>
      <w:r>
        <w:rPr>
          <w:color w:val="auto"/>
          <w:highlight w:val="none"/>
          <w:lang w:eastAsia="ru-RU" w:bidi="ru-RU"/>
        </w:rPr>
        <w:t xml:space="preserve">кожний з яких </w:t>
      </w:r>
      <w:r>
        <w:rPr>
          <w:color w:val="auto"/>
          <w:highlight w:val="none"/>
          <w:lang w:eastAsia="en-US"/>
        </w:rPr>
        <w:t xml:space="preserve">має </w:t>
      </w:r>
      <w:r>
        <w:rPr>
          <w:color w:val="auto"/>
          <w:highlight w:val="none"/>
          <w:lang w:eastAsia="ru-RU" w:bidi="ru-RU"/>
        </w:rPr>
        <w:t xml:space="preserve">однакову юридичну силу.</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Зміни </w:t>
      </w:r>
      <w:r>
        <w:rPr>
          <w:color w:val="auto"/>
          <w:highlight w:val="none"/>
          <w:lang w:eastAsia="ru-RU" w:bidi="ru-RU"/>
        </w:rPr>
        <w:t xml:space="preserve">та доповнення, </w:t>
      </w:r>
      <w:r>
        <w:rPr>
          <w:color w:val="auto"/>
          <w:highlight w:val="none"/>
          <w:lang w:eastAsia="en-US"/>
        </w:rPr>
        <w:t xml:space="preserve">Додаткові </w:t>
      </w:r>
      <w:r>
        <w:rPr>
          <w:color w:val="auto"/>
          <w:highlight w:val="none"/>
          <w:lang w:eastAsia="ru-RU" w:bidi="ru-RU"/>
        </w:rPr>
        <w:t xml:space="preserve">угоди та додатки до цього Договору </w:t>
      </w:r>
      <w:r>
        <w:rPr>
          <w:color w:val="auto"/>
          <w:highlight w:val="none"/>
          <w:lang w:eastAsia="en-US"/>
        </w:rPr>
        <w:t xml:space="preserve">є </w:t>
      </w:r>
      <w:r>
        <w:rPr>
          <w:color w:val="auto"/>
          <w:highlight w:val="none"/>
          <w:lang w:eastAsia="ru-RU" w:bidi="ru-RU"/>
        </w:rPr>
        <w:t xml:space="preserve">його </w:t>
      </w:r>
      <w:r>
        <w:rPr>
          <w:color w:val="auto"/>
          <w:highlight w:val="none"/>
          <w:lang w:eastAsia="en-US"/>
        </w:rPr>
        <w:t xml:space="preserve">невід'ємною </w:t>
      </w:r>
      <w:r>
        <w:rPr>
          <w:color w:val="auto"/>
          <w:highlight w:val="none"/>
          <w:lang w:eastAsia="ru-RU" w:bidi="ru-RU"/>
        </w:rPr>
        <w:t xml:space="preserve">частиною </w:t>
      </w:r>
      <w:r>
        <w:rPr>
          <w:color w:val="auto"/>
          <w:highlight w:val="none"/>
          <w:lang w:eastAsia="en-US"/>
        </w:rPr>
        <w:t xml:space="preserve">і </w:t>
      </w:r>
      <w:r>
        <w:rPr>
          <w:color w:val="auto"/>
          <w:highlight w:val="none"/>
          <w:lang w:eastAsia="ru-RU" w:bidi="ru-RU"/>
        </w:rPr>
        <w:t xml:space="preserve">мають юридичну силу у </w:t>
      </w:r>
      <w:r>
        <w:rPr>
          <w:color w:val="auto"/>
          <w:highlight w:val="none"/>
          <w:lang w:eastAsia="en-US"/>
        </w:rPr>
        <w:t xml:space="preserve">разі, </w:t>
      </w:r>
      <w:r>
        <w:rPr>
          <w:color w:val="auto"/>
          <w:highlight w:val="none"/>
          <w:lang w:eastAsia="ru-RU" w:bidi="ru-RU"/>
        </w:rPr>
        <w:t xml:space="preserve">якщо вони </w:t>
      </w:r>
      <w:r>
        <w:rPr>
          <w:color w:val="auto"/>
          <w:highlight w:val="none"/>
          <w:lang w:eastAsia="en-US"/>
        </w:rPr>
        <w:t xml:space="preserve">викладені </w:t>
      </w:r>
      <w:r>
        <w:rPr>
          <w:color w:val="auto"/>
          <w:highlight w:val="none"/>
          <w:lang w:eastAsia="ru-RU" w:bidi="ru-RU"/>
        </w:rPr>
        <w:t xml:space="preserve">у </w:t>
      </w:r>
      <w:r>
        <w:rPr>
          <w:color w:val="auto"/>
          <w:highlight w:val="none"/>
          <w:lang w:eastAsia="en-US"/>
        </w:rPr>
        <w:t xml:space="preserve">письмовій формі </w:t>
      </w:r>
      <w:r>
        <w:rPr>
          <w:color w:val="auto"/>
          <w:highlight w:val="none"/>
          <w:lang w:eastAsia="ru-RU" w:bidi="ru-RU"/>
        </w:rPr>
        <w:t xml:space="preserve">та </w:t>
      </w:r>
      <w:r>
        <w:rPr>
          <w:color w:val="auto"/>
          <w:highlight w:val="none"/>
          <w:lang w:eastAsia="en-US"/>
        </w:rPr>
        <w:t xml:space="preserve">підписані </w:t>
      </w:r>
      <w:r>
        <w:rPr>
          <w:color w:val="auto"/>
          <w:highlight w:val="none"/>
          <w:lang w:eastAsia="ru-RU" w:bidi="ru-RU"/>
        </w:rPr>
        <w:t xml:space="preserve">уповноваженими на те представниками </w:t>
      </w:r>
      <w:r>
        <w:rPr>
          <w:color w:val="auto"/>
          <w:highlight w:val="none"/>
          <w:lang w:eastAsia="en-US"/>
        </w:rPr>
        <w:t xml:space="preserve">Сторін.</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Усі </w:t>
      </w:r>
      <w:r>
        <w:rPr>
          <w:color w:val="auto"/>
          <w:highlight w:val="none"/>
          <w:lang w:eastAsia="ru-RU" w:bidi="ru-RU"/>
        </w:rPr>
        <w:t xml:space="preserve">положення цього Договору </w:t>
      </w:r>
      <w:r>
        <w:rPr>
          <w:color w:val="auto"/>
          <w:highlight w:val="none"/>
          <w:lang w:eastAsia="en-US"/>
        </w:rPr>
        <w:t xml:space="preserve">обов'язкові </w:t>
      </w:r>
      <w:r>
        <w:rPr>
          <w:color w:val="auto"/>
          <w:highlight w:val="none"/>
          <w:lang w:eastAsia="ru-RU" w:bidi="ru-RU"/>
        </w:rPr>
        <w:t xml:space="preserve">для </w:t>
      </w:r>
      <w:r>
        <w:rPr>
          <w:color w:val="auto"/>
          <w:highlight w:val="none"/>
          <w:lang w:eastAsia="en-US"/>
        </w:rPr>
        <w:t xml:space="preserve">усіх правонаступників Сторін.</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Усі правовідносини, </w:t>
      </w:r>
      <w:r>
        <w:rPr>
          <w:color w:val="auto"/>
          <w:highlight w:val="none"/>
          <w:lang w:eastAsia="ru-RU" w:bidi="ru-RU"/>
        </w:rPr>
        <w:t xml:space="preserve">що виникають у зв'язку з виконанням умов цього Договору </w:t>
      </w:r>
      <w:r>
        <w:rPr>
          <w:color w:val="auto"/>
          <w:highlight w:val="none"/>
          <w:lang w:eastAsia="en-US"/>
        </w:rPr>
        <w:t xml:space="preserve">і </w:t>
      </w:r>
      <w:r>
        <w:rPr>
          <w:color w:val="auto"/>
          <w:highlight w:val="none"/>
          <w:lang w:eastAsia="ru-RU" w:bidi="ru-RU"/>
        </w:rPr>
        <w:t xml:space="preserve">не </w:t>
      </w:r>
      <w:r>
        <w:rPr>
          <w:color w:val="auto"/>
          <w:highlight w:val="none"/>
          <w:lang w:eastAsia="en-US"/>
        </w:rPr>
        <w:t xml:space="preserve">врегульовані </w:t>
      </w:r>
      <w:r>
        <w:rPr>
          <w:color w:val="auto"/>
          <w:highlight w:val="none"/>
          <w:lang w:eastAsia="ru-RU" w:bidi="ru-RU"/>
        </w:rPr>
        <w:t xml:space="preserve">ним, регламентуються нормами чинного в </w:t>
      </w:r>
      <w:r>
        <w:rPr>
          <w:color w:val="auto"/>
          <w:highlight w:val="none"/>
          <w:lang w:eastAsia="en-US"/>
        </w:rPr>
        <w:t xml:space="preserve">Україні </w:t>
      </w:r>
      <w:r>
        <w:rPr>
          <w:color w:val="auto"/>
          <w:highlight w:val="none"/>
          <w:lang w:eastAsia="ru-RU" w:bidi="ru-RU"/>
        </w:rPr>
        <w:t xml:space="preserve">законодавства.</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en-US"/>
        </w:rPr>
        <w:t xml:space="preserve">Всі повідомлення між </w:t>
      </w:r>
      <w:r>
        <w:rPr>
          <w:color w:val="auto"/>
          <w:highlight w:val="none"/>
          <w:lang w:eastAsia="ru-RU" w:bidi="ru-RU"/>
        </w:rPr>
        <w:t xml:space="preserve">Сторонами </w:t>
      </w:r>
      <w:r>
        <w:rPr>
          <w:color w:val="auto"/>
          <w:highlight w:val="none"/>
          <w:lang w:eastAsia="en-US"/>
        </w:rPr>
        <w:t xml:space="preserve">здійснюються </w:t>
      </w:r>
      <w:r>
        <w:rPr>
          <w:color w:val="auto"/>
          <w:highlight w:val="none"/>
          <w:lang w:eastAsia="ru-RU" w:bidi="ru-RU"/>
        </w:rPr>
        <w:t xml:space="preserve">у </w:t>
      </w:r>
      <w:r>
        <w:rPr>
          <w:color w:val="auto"/>
          <w:highlight w:val="none"/>
          <w:lang w:eastAsia="en-US"/>
        </w:rPr>
        <w:t xml:space="preserve">письмовій формі, </w:t>
      </w:r>
      <w:r>
        <w:rPr>
          <w:color w:val="auto"/>
          <w:highlight w:val="none"/>
          <w:lang w:eastAsia="ru-RU" w:bidi="ru-RU"/>
        </w:rPr>
        <w:t xml:space="preserve">направляються </w:t>
      </w:r>
      <w:r>
        <w:rPr>
          <w:color w:val="auto"/>
          <w:highlight w:val="none"/>
          <w:lang w:eastAsia="en-US"/>
        </w:rPr>
        <w:t xml:space="preserve">адресатові </w:t>
      </w:r>
      <w:r>
        <w:rPr>
          <w:color w:val="auto"/>
          <w:highlight w:val="none"/>
          <w:lang w:eastAsia="ru-RU" w:bidi="ru-RU"/>
        </w:rPr>
        <w:t xml:space="preserve">рекомендованим або </w:t>
      </w:r>
      <w:r>
        <w:rPr>
          <w:color w:val="auto"/>
          <w:highlight w:val="none"/>
          <w:lang w:eastAsia="en-US"/>
        </w:rPr>
        <w:t xml:space="preserve">цінним </w:t>
      </w:r>
      <w:r>
        <w:rPr>
          <w:color w:val="auto"/>
          <w:highlight w:val="none"/>
          <w:lang w:eastAsia="ru-RU" w:bidi="ru-RU"/>
        </w:rPr>
        <w:t xml:space="preserve">листом, телеграмою, або вручаються </w:t>
      </w:r>
      <w:r>
        <w:rPr>
          <w:color w:val="auto"/>
          <w:highlight w:val="none"/>
          <w:lang w:eastAsia="en-US"/>
        </w:rPr>
        <w:t xml:space="preserve">під </w:t>
      </w:r>
      <w:r>
        <w:rPr>
          <w:color w:val="auto"/>
          <w:highlight w:val="none"/>
          <w:lang w:eastAsia="ru-RU" w:bidi="ru-RU"/>
        </w:rPr>
        <w:t xml:space="preserve">розписку.</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Виконавець </w:t>
      </w:r>
      <w:r>
        <w:rPr>
          <w:color w:val="auto"/>
          <w:highlight w:val="none"/>
          <w:lang w:eastAsia="en-US"/>
        </w:rPr>
        <w:t xml:space="preserve">має </w:t>
      </w:r>
      <w:r>
        <w:rPr>
          <w:color w:val="auto"/>
          <w:highlight w:val="none"/>
          <w:lang w:eastAsia="ru-RU" w:bidi="ru-RU"/>
        </w:rPr>
        <w:t xml:space="preserve">статус платника податку </w:t>
      </w:r>
      <w:r>
        <w:rPr>
          <w:color w:val="auto"/>
          <w:highlight w:val="none"/>
          <w:lang w:eastAsia="ru-RU" w:bidi="ru-RU"/>
        </w:rPr>
        <w:t xml:space="preserve">________________________________.</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r>
      <w:r>
        <w:rPr>
          <w:color w:val="auto"/>
          <w:highlight w:val="none"/>
          <w:lang w:eastAsia="ru-RU" w:bidi="ru-RU"/>
        </w:rPr>
        <w:t xml:space="preserve">Замовник згідно Податкового кодексу України є неприбутковою організацією</w:t>
      </w:r>
      <w:r>
        <w:rPr>
          <w:color w:val="auto"/>
          <w:highlight w:val="none"/>
          <w:lang w:eastAsia="ru-RU" w:bidi="ru-RU"/>
        </w:rPr>
        <w:t xml:space="preserve">.</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Сторони зобов'язуються </w:t>
      </w:r>
      <w:r>
        <w:rPr>
          <w:color w:val="auto"/>
          <w:highlight w:val="none"/>
          <w:lang w:eastAsia="en-US"/>
        </w:rPr>
        <w:t xml:space="preserve">під </w:t>
      </w:r>
      <w:r>
        <w:rPr>
          <w:color w:val="auto"/>
          <w:highlight w:val="none"/>
          <w:lang w:eastAsia="ru-RU" w:bidi="ru-RU"/>
        </w:rPr>
        <w:t xml:space="preserve">час виконання цього Договору </w:t>
      </w:r>
      <w:r>
        <w:rPr>
          <w:color w:val="auto"/>
          <w:highlight w:val="none"/>
          <w:lang w:eastAsia="en-US"/>
        </w:rPr>
        <w:t xml:space="preserve">зберігати конфіденційність відносно </w:t>
      </w:r>
      <w:r>
        <w:rPr>
          <w:color w:val="auto"/>
          <w:highlight w:val="none"/>
          <w:lang w:eastAsia="ru-RU" w:bidi="ru-RU"/>
        </w:rPr>
        <w:t xml:space="preserve">даних, що надаються кожною з них </w:t>
      </w:r>
      <w:r>
        <w:rPr>
          <w:color w:val="auto"/>
          <w:highlight w:val="none"/>
          <w:lang w:eastAsia="en-US"/>
        </w:rPr>
        <w:t xml:space="preserve">іншій Стороні </w:t>
      </w:r>
      <w:r>
        <w:rPr>
          <w:color w:val="auto"/>
          <w:highlight w:val="none"/>
          <w:lang w:eastAsia="ru-RU" w:bidi="ru-RU"/>
        </w:rPr>
        <w:t xml:space="preserve">у зв'язку з цим Договором, не </w:t>
      </w:r>
      <w:r>
        <w:rPr>
          <w:color w:val="auto"/>
          <w:highlight w:val="none"/>
          <w:lang w:eastAsia="en-US"/>
        </w:rPr>
        <w:t xml:space="preserve">відкривати </w:t>
      </w:r>
      <w:r>
        <w:rPr>
          <w:color w:val="auto"/>
          <w:highlight w:val="none"/>
          <w:lang w:eastAsia="ru-RU" w:bidi="ru-RU"/>
        </w:rPr>
        <w:t xml:space="preserve">та не розголошувати </w:t>
      </w:r>
      <w:r>
        <w:rPr>
          <w:color w:val="auto"/>
          <w:highlight w:val="none"/>
          <w:lang w:eastAsia="en-US"/>
        </w:rPr>
        <w:t xml:space="preserve">інформацію, </w:t>
      </w:r>
      <w:r>
        <w:rPr>
          <w:color w:val="auto"/>
          <w:highlight w:val="none"/>
          <w:lang w:eastAsia="ru-RU" w:bidi="ru-RU"/>
        </w:rPr>
        <w:t xml:space="preserve">пов'язану з виконанням Договору </w:t>
      </w:r>
      <w:r>
        <w:rPr>
          <w:color w:val="auto"/>
          <w:highlight w:val="none"/>
          <w:lang w:eastAsia="en-US"/>
        </w:rPr>
        <w:t xml:space="preserve">третім </w:t>
      </w:r>
      <w:r>
        <w:rPr>
          <w:color w:val="auto"/>
          <w:highlight w:val="none"/>
          <w:lang w:eastAsia="ru-RU" w:bidi="ru-RU"/>
        </w:rPr>
        <w:t xml:space="preserve">особам, за винятком </w:t>
      </w:r>
      <w:r>
        <w:rPr>
          <w:color w:val="auto"/>
          <w:highlight w:val="none"/>
          <w:lang w:eastAsia="en-US"/>
        </w:rPr>
        <w:t xml:space="preserve">випадків, </w:t>
      </w:r>
      <w:r>
        <w:rPr>
          <w:color w:val="auto"/>
          <w:highlight w:val="none"/>
          <w:lang w:eastAsia="ru-RU" w:bidi="ru-RU"/>
        </w:rPr>
        <w:t xml:space="preserve">передбачених чинним законодавством.</w:t>
      </w:r>
      <w:r>
        <w:rPr>
          <w:color w:val="auto"/>
          <w:highlight w:val="none"/>
        </w:rPr>
      </w:r>
      <w:r>
        <w:rPr>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Жодна </w:t>
      </w:r>
      <w:r>
        <w:rPr>
          <w:color w:val="auto"/>
          <w:highlight w:val="none"/>
          <w:lang w:eastAsia="en-US"/>
        </w:rPr>
        <w:t xml:space="preserve">із Сторін </w:t>
      </w:r>
      <w:r>
        <w:rPr>
          <w:color w:val="auto"/>
          <w:highlight w:val="none"/>
          <w:lang w:eastAsia="ru-RU" w:bidi="ru-RU"/>
        </w:rPr>
        <w:t xml:space="preserve">не </w:t>
      </w:r>
      <w:r>
        <w:rPr>
          <w:color w:val="auto"/>
          <w:highlight w:val="none"/>
          <w:lang w:eastAsia="en-US"/>
        </w:rPr>
        <w:t xml:space="preserve">має </w:t>
      </w:r>
      <w:r>
        <w:rPr>
          <w:color w:val="auto"/>
          <w:highlight w:val="none"/>
          <w:lang w:eastAsia="ru-RU" w:bidi="ru-RU"/>
        </w:rPr>
        <w:t xml:space="preserve">права передавати </w:t>
      </w:r>
      <w:r>
        <w:rPr>
          <w:color w:val="auto"/>
          <w:highlight w:val="none"/>
          <w:lang w:eastAsia="en-US"/>
        </w:rPr>
        <w:t xml:space="preserve">свої </w:t>
      </w:r>
      <w:r>
        <w:rPr>
          <w:color w:val="auto"/>
          <w:highlight w:val="none"/>
          <w:lang w:eastAsia="ru-RU" w:bidi="ru-RU"/>
        </w:rPr>
        <w:t xml:space="preserve">права та обов'язки за цим Договором </w:t>
      </w:r>
      <w:r>
        <w:rPr>
          <w:color w:val="auto"/>
          <w:highlight w:val="none"/>
          <w:lang w:eastAsia="en-US"/>
        </w:rPr>
        <w:t xml:space="preserve">третім </w:t>
      </w:r>
      <w:r>
        <w:rPr>
          <w:color w:val="auto"/>
          <w:highlight w:val="none"/>
          <w:lang w:eastAsia="ru-RU" w:bidi="ru-RU"/>
        </w:rPr>
        <w:t xml:space="preserve">особам, без </w:t>
      </w:r>
      <w:r>
        <w:rPr>
          <w:color w:val="auto"/>
          <w:highlight w:val="none"/>
          <w:lang w:eastAsia="en-US"/>
        </w:rPr>
        <w:t xml:space="preserve">письмової </w:t>
      </w:r>
      <w:r>
        <w:rPr>
          <w:color w:val="auto"/>
          <w:highlight w:val="none"/>
          <w:lang w:eastAsia="ru-RU" w:bidi="ru-RU"/>
        </w:rPr>
        <w:t xml:space="preserve">згоди на це </w:t>
      </w:r>
      <w:r>
        <w:rPr>
          <w:color w:val="auto"/>
          <w:highlight w:val="none"/>
          <w:lang w:eastAsia="en-US"/>
        </w:rPr>
        <w:t xml:space="preserve">іншої </w:t>
      </w:r>
      <w:r>
        <w:rPr>
          <w:color w:val="auto"/>
          <w:highlight w:val="none"/>
          <w:lang w:eastAsia="ru-RU" w:bidi="ru-RU"/>
        </w:rPr>
        <w:t xml:space="preserve">Сторони.</w:t>
      </w:r>
      <w:r>
        <w:rPr>
          <w:color w:val="auto"/>
          <w:highlight w:val="none"/>
        </w:rPr>
      </w:r>
      <w:r>
        <w:rPr>
          <w:color w:val="auto"/>
          <w:highlight w:val="none"/>
        </w:rPr>
      </w:r>
    </w:p>
    <w:p>
      <w:pPr>
        <w:widowControl w:val="false"/>
        <w:numPr>
          <w:ilvl w:val="1"/>
          <w:numId w:val="1"/>
        </w:numPr>
        <w:pBdr/>
        <w:tabs>
          <w:tab w:val="left" w:leader="none" w:pos="800"/>
        </w:tabs>
        <w:spacing w:after="80"/>
        <w:ind/>
        <w:jc w:val="both"/>
        <w:rPr>
          <w:color w:val="auto"/>
          <w:highlight w:val="none"/>
        </w:rPr>
      </w:pPr>
      <w:r>
        <w:rPr>
          <w:color w:val="auto"/>
          <w:highlight w:val="none"/>
          <w:lang w:eastAsia="ru-RU" w:bidi="ru-RU"/>
        </w:rPr>
        <w:t xml:space="preserve">Даним Договором Сторони дають згоду на </w:t>
      </w:r>
      <w:r>
        <w:rPr>
          <w:color w:val="auto"/>
          <w:highlight w:val="none"/>
          <w:lang w:eastAsia="en-US"/>
        </w:rPr>
        <w:t xml:space="preserve">збір </w:t>
      </w:r>
      <w:r>
        <w:rPr>
          <w:color w:val="auto"/>
          <w:highlight w:val="none"/>
          <w:lang w:eastAsia="ru-RU" w:bidi="ru-RU"/>
        </w:rPr>
        <w:t xml:space="preserve">та обробку </w:t>
      </w:r>
      <w:r>
        <w:rPr>
          <w:color w:val="auto"/>
          <w:highlight w:val="none"/>
          <w:lang w:eastAsia="en-US"/>
        </w:rPr>
        <w:t xml:space="preserve">своїх </w:t>
      </w:r>
      <w:r>
        <w:rPr>
          <w:color w:val="auto"/>
          <w:highlight w:val="none"/>
          <w:lang w:eastAsia="ru-RU" w:bidi="ru-RU"/>
        </w:rPr>
        <w:t xml:space="preserve">персональних даних.</w:t>
      </w:r>
      <w:r>
        <w:rPr>
          <w:color w:val="auto"/>
          <w:highlight w:val="none"/>
        </w:rPr>
      </w:r>
      <w:r>
        <w:rPr>
          <w:color w:val="auto"/>
          <w:highlight w:val="none"/>
        </w:rPr>
      </w:r>
    </w:p>
    <w:p>
      <w:pPr>
        <w:keepNext w:val="true"/>
        <w:keepLines w:val="true"/>
        <w:widowControl w:val="false"/>
        <w:numPr>
          <w:ilvl w:val="0"/>
          <w:numId w:val="1"/>
        </w:numPr>
        <w:pBdr/>
        <w:tabs>
          <w:tab w:val="left" w:leader="none" w:pos="994"/>
        </w:tabs>
        <w:spacing/>
        <w:ind/>
        <w:jc w:val="center"/>
        <w:outlineLvl w:val="1"/>
        <w:rPr>
          <w:b/>
          <w:bCs/>
          <w:color w:val="auto"/>
          <w:highlight w:val="none"/>
        </w:rPr>
      </w:pPr>
      <w:r>
        <w:rPr>
          <w:color w:val="auto"/>
          <w:highlight w:val="none"/>
        </w:rPr>
      </w:r>
      <w:bookmarkStart w:id="70" w:name="bookmark35"/>
      <w:r>
        <w:rPr>
          <w:color w:val="auto"/>
          <w:highlight w:val="none"/>
        </w:rPr>
      </w:r>
      <w:bookmarkStart w:id="71" w:name="bookmark34"/>
      <w:r>
        <w:rPr>
          <w:b/>
          <w:bCs/>
          <w:color w:val="auto"/>
          <w:highlight w:val="none"/>
          <w:lang w:eastAsia="en-US"/>
        </w:rPr>
        <w:t xml:space="preserve">Термін дії </w:t>
      </w:r>
      <w:r>
        <w:rPr>
          <w:b/>
          <w:bCs/>
          <w:color w:val="auto"/>
          <w:highlight w:val="none"/>
          <w:lang w:eastAsia="ru-RU" w:bidi="ru-RU"/>
        </w:rPr>
        <w:t xml:space="preserve">Договору</w:t>
      </w:r>
      <w:bookmarkEnd w:id="70"/>
      <w:r>
        <w:rPr>
          <w:color w:val="auto"/>
          <w:highlight w:val="none"/>
        </w:rPr>
      </w:r>
      <w:bookmarkEnd w:id="71"/>
      <w:r>
        <w:rPr>
          <w:b/>
          <w:bCs/>
          <w:color w:val="auto"/>
          <w:highlight w:val="none"/>
        </w:rPr>
      </w:r>
      <w:r>
        <w:rPr>
          <w:b/>
          <w:bCs/>
          <w:color w:val="auto"/>
          <w:highlight w:val="none"/>
        </w:rPr>
      </w:r>
    </w:p>
    <w:p>
      <w:pPr>
        <w:widowControl w:val="false"/>
        <w:numPr>
          <w:ilvl w:val="1"/>
          <w:numId w:val="1"/>
        </w:numPr>
        <w:pBdr/>
        <w:tabs>
          <w:tab w:val="left" w:leader="none" w:pos="680"/>
        </w:tabs>
        <w:spacing/>
        <w:ind/>
        <w:jc w:val="both"/>
        <w:rPr>
          <w:color w:val="auto"/>
          <w:highlight w:val="none"/>
        </w:rPr>
      </w:pPr>
      <w:r>
        <w:rPr>
          <w:color w:val="auto"/>
          <w:highlight w:val="none"/>
          <w:lang w:eastAsia="ru-RU" w:bidi="ru-RU"/>
        </w:rPr>
        <w:t xml:space="preserve">Цей </w:t>
      </w:r>
      <w:r>
        <w:rPr>
          <w:color w:val="auto"/>
          <w:highlight w:val="none"/>
          <w:lang w:eastAsia="en-US"/>
        </w:rPr>
        <w:t xml:space="preserve">Договір вступає </w:t>
      </w:r>
      <w:r>
        <w:rPr>
          <w:color w:val="auto"/>
          <w:highlight w:val="none"/>
          <w:lang w:eastAsia="ru-RU" w:bidi="ru-RU"/>
        </w:rPr>
        <w:t xml:space="preserve">в силу </w:t>
      </w:r>
      <w:r>
        <w:rPr>
          <w:color w:val="auto"/>
          <w:highlight w:val="none"/>
          <w:lang w:eastAsia="en-US"/>
        </w:rPr>
        <w:t xml:space="preserve">після підписання </w:t>
      </w:r>
      <w:r>
        <w:rPr>
          <w:color w:val="auto"/>
          <w:highlight w:val="none"/>
          <w:lang w:eastAsia="ru-RU" w:bidi="ru-RU"/>
        </w:rPr>
        <w:t xml:space="preserve">його Сторонами </w:t>
      </w:r>
      <w:r>
        <w:rPr>
          <w:color w:val="auto"/>
          <w:highlight w:val="none"/>
          <w:lang w:eastAsia="en-US"/>
        </w:rPr>
        <w:t xml:space="preserve">і діє </w:t>
      </w:r>
      <w:r>
        <w:rPr>
          <w:color w:val="auto"/>
          <w:highlight w:val="none"/>
          <w:lang w:eastAsia="ru-RU" w:bidi="ru-RU"/>
        </w:rPr>
        <w:t xml:space="preserve">до </w:t>
      </w:r>
      <w:r>
        <w:rPr>
          <w:color w:val="auto"/>
          <w:highlight w:val="none"/>
          <w:lang w:eastAsia="ru-RU" w:bidi="ru-RU"/>
        </w:rPr>
        <w:t xml:space="preserve">31.12.202</w:t>
      </w:r>
      <w:r>
        <w:rPr>
          <w:color w:val="auto"/>
          <w:highlight w:val="none"/>
          <w:lang w:eastAsia="ru-RU" w:bidi="ru-RU"/>
        </w:rPr>
        <w:t xml:space="preserve">4</w:t>
      </w:r>
      <w:r>
        <w:rPr>
          <w:color w:val="auto"/>
          <w:highlight w:val="none"/>
          <w:lang w:eastAsia="ru-RU" w:bidi="ru-RU"/>
        </w:rPr>
        <w:t xml:space="preserve"> р,</w:t>
      </w:r>
      <w:r>
        <w:rPr>
          <w:color w:val="auto"/>
          <w:highlight w:val="none"/>
          <w:lang w:eastAsia="ru-RU" w:bidi="ru-RU"/>
        </w:rPr>
        <w:t xml:space="preserve"> а в </w:t>
      </w:r>
      <w:r>
        <w:rPr>
          <w:color w:val="auto"/>
          <w:highlight w:val="none"/>
          <w:lang w:eastAsia="en-US"/>
        </w:rPr>
        <w:t xml:space="preserve">частині </w:t>
      </w:r>
      <w:r>
        <w:rPr>
          <w:color w:val="auto"/>
          <w:highlight w:val="none"/>
          <w:lang w:eastAsia="ru-RU" w:bidi="ru-RU"/>
        </w:rPr>
        <w:t xml:space="preserve">виконання зобов'язань до </w:t>
      </w:r>
      <w:r>
        <w:rPr>
          <w:color w:val="auto"/>
          <w:highlight w:val="none"/>
          <w:lang w:eastAsia="en-US"/>
        </w:rPr>
        <w:t xml:space="preserve">їх </w:t>
      </w:r>
      <w:r>
        <w:rPr>
          <w:color w:val="auto"/>
          <w:highlight w:val="none"/>
          <w:lang w:eastAsia="ru-RU" w:bidi="ru-RU"/>
        </w:rPr>
        <w:t xml:space="preserve">повного виконання Сторонами.</w:t>
      </w:r>
      <w:r>
        <w:rPr>
          <w:color w:val="auto"/>
          <w:highlight w:val="none"/>
        </w:rPr>
      </w:r>
      <w:r>
        <w:rPr>
          <w:color w:val="auto"/>
          <w:highlight w:val="none"/>
        </w:rPr>
      </w:r>
    </w:p>
    <w:p>
      <w:pPr>
        <w:keepNext w:val="true"/>
        <w:keepLines w:val="true"/>
        <w:widowControl w:val="false"/>
        <w:pBdr/>
        <w:spacing/>
        <w:ind/>
        <w:jc w:val="center"/>
        <w:outlineLvl w:val="1"/>
        <w:rPr>
          <w:b/>
          <w:bCs/>
          <w:color w:val="auto"/>
          <w:highlight w:val="none"/>
        </w:rPr>
      </w:pPr>
      <w:r>
        <w:rPr>
          <w:color w:val="auto"/>
          <w:highlight w:val="none"/>
        </w:rPr>
      </w:r>
      <w:bookmarkStart w:id="72" w:name="bookmark37"/>
      <w:r>
        <w:rPr>
          <w:color w:val="auto"/>
          <w:highlight w:val="none"/>
        </w:rPr>
      </w:r>
      <w:bookmarkStart w:id="73" w:name="bookmark36"/>
      <w:r>
        <w:rPr>
          <w:b/>
          <w:bCs/>
          <w:color w:val="auto"/>
          <w:highlight w:val="none"/>
          <w:lang w:eastAsia="en-US"/>
        </w:rPr>
        <w:t xml:space="preserve">12. Додатки</w:t>
      </w:r>
      <w:r>
        <w:rPr>
          <w:b/>
          <w:bCs/>
          <w:color w:val="auto"/>
          <w:highlight w:val="none"/>
          <w:lang w:eastAsia="ru-RU" w:bidi="ru-RU"/>
        </w:rPr>
        <w:t xml:space="preserve"> до Договору</w:t>
      </w:r>
      <w:bookmarkEnd w:id="72"/>
      <w:r>
        <w:rPr>
          <w:color w:val="auto"/>
          <w:highlight w:val="none"/>
        </w:rPr>
      </w:r>
      <w:bookmarkEnd w:id="73"/>
      <w:r>
        <w:rPr>
          <w:b/>
          <w:bCs/>
          <w:color w:val="auto"/>
          <w:highlight w:val="none"/>
        </w:rPr>
      </w:r>
      <w:r>
        <w:rPr>
          <w:b/>
          <w:bCs/>
          <w:color w:val="auto"/>
          <w:highlight w:val="none"/>
        </w:rPr>
      </w:r>
    </w:p>
    <w:p>
      <w:pPr>
        <w:widowControl w:val="false"/>
        <w:numPr>
          <w:ilvl w:val="0"/>
          <w:numId w:val="4"/>
        </w:numPr>
        <w:pBdr/>
        <w:tabs>
          <w:tab w:val="left" w:leader="none" w:pos="680"/>
        </w:tabs>
        <w:spacing/>
        <w:ind/>
        <w:jc w:val="both"/>
        <w:rPr>
          <w:color w:val="auto"/>
          <w:highlight w:val="none"/>
        </w:rPr>
      </w:pPr>
      <w:r>
        <w:rPr>
          <w:color w:val="auto"/>
          <w:highlight w:val="none"/>
          <w:lang w:eastAsia="ru-RU" w:bidi="ru-RU"/>
        </w:rPr>
        <w:t xml:space="preserve">До цього Договору додаються:</w:t>
      </w:r>
      <w:r>
        <w:rPr>
          <w:color w:val="auto"/>
          <w:highlight w:val="none"/>
        </w:rPr>
      </w:r>
      <w:r>
        <w:rPr>
          <w:color w:val="auto"/>
          <w:highlight w:val="none"/>
        </w:rPr>
      </w:r>
    </w:p>
    <w:p>
      <w:pPr>
        <w:widowControl w:val="false"/>
        <w:pBdr/>
        <w:spacing/>
        <w:ind/>
        <w:rPr>
          <w:color w:val="auto"/>
          <w:highlight w:val="none"/>
        </w:rPr>
      </w:pPr>
      <w:r>
        <w:rPr>
          <w:color w:val="auto"/>
          <w:highlight w:val="none"/>
          <w:lang w:eastAsia="en-US"/>
        </w:rPr>
        <w:t xml:space="preserve">Додаток № 1 - Договірна ціна з кошторисом на </w:t>
      </w:r>
      <w:r>
        <w:rPr>
          <w:color w:val="auto"/>
          <w:highlight w:val="none"/>
          <w:lang w:eastAsia="en-US"/>
        </w:rPr>
        <w:t xml:space="preserve">проєктні</w:t>
      </w:r>
      <w:r>
        <w:rPr>
          <w:color w:val="auto"/>
          <w:highlight w:val="none"/>
          <w:lang w:eastAsia="en-US"/>
        </w:rPr>
        <w:t xml:space="preserve"> роботи</w:t>
      </w:r>
      <w:r>
        <w:rPr>
          <w:color w:val="auto"/>
          <w:highlight w:val="none"/>
        </w:rPr>
      </w:r>
      <w:r>
        <w:rPr>
          <w:color w:val="auto"/>
          <w:highlight w:val="none"/>
        </w:rPr>
      </w:r>
    </w:p>
    <w:p>
      <w:pPr>
        <w:widowControl w:val="false"/>
        <w:pBdr/>
        <w:spacing/>
        <w:ind/>
        <w:rPr>
          <w:color w:val="auto"/>
          <w:highlight w:val="none"/>
        </w:rPr>
      </w:pPr>
      <w:r>
        <w:rPr>
          <w:color w:val="auto"/>
          <w:highlight w:val="none"/>
          <w:lang w:eastAsia="en-US"/>
        </w:rPr>
        <w:t xml:space="preserve">Додаток № 2 - Протокол погодження договірної ціни</w:t>
      </w:r>
      <w:r>
        <w:rPr>
          <w:color w:val="auto"/>
          <w:highlight w:val="none"/>
        </w:rPr>
      </w:r>
      <w:r>
        <w:rPr>
          <w:color w:val="auto"/>
          <w:highlight w:val="none"/>
        </w:rPr>
      </w:r>
    </w:p>
    <w:p>
      <w:pPr>
        <w:widowControl w:val="false"/>
        <w:pBdr/>
        <w:spacing w:after="80"/>
        <w:ind/>
        <w:jc w:val="both"/>
        <w:rPr>
          <w:color w:val="auto"/>
          <w:highlight w:val="none"/>
        </w:rPr>
      </w:pPr>
      <w:r>
        <w:rPr>
          <w:color w:val="auto"/>
          <w:highlight w:val="none"/>
          <w:lang w:eastAsia="en-US"/>
        </w:rPr>
        <w:t xml:space="preserve">Додаток № 3 - Календарний план роботи</w:t>
      </w:r>
      <w:r>
        <w:rPr>
          <w:color w:val="auto"/>
          <w:highlight w:val="none"/>
        </w:rPr>
      </w:r>
      <w:r>
        <w:rPr>
          <w:color w:val="auto"/>
          <w:highlight w:val="none"/>
        </w:rPr>
      </w:r>
    </w:p>
    <w:p>
      <w:pPr>
        <w:widowControl w:val="false"/>
        <w:numPr>
          <w:ilvl w:val="0"/>
          <w:numId w:val="1"/>
        </w:numPr>
        <w:pBdr/>
        <w:tabs>
          <w:tab w:val="left" w:leader="none" w:pos="4762"/>
        </w:tabs>
        <w:spacing/>
        <w:ind w:right="0" w:firstLine="0" w:left="0"/>
        <w:jc w:val="center"/>
        <w:rPr>
          <w:color w:val="auto"/>
          <w:highlight w:val="none"/>
        </w:rPr>
      </w:pPr>
      <w:r>
        <w:rPr>
          <w:b/>
          <w:bCs/>
          <w:color w:val="auto"/>
          <w:highlight w:val="none"/>
          <w:lang w:eastAsia="en-US"/>
        </w:rPr>
        <w:t xml:space="preserve">Адреси, реквізити та підписи Сторін</w:t>
      </w:r>
      <w:r>
        <w:rPr>
          <w:color w:val="auto"/>
          <w:highlight w:val="none"/>
        </w:rPr>
      </w:r>
      <w:r>
        <w:rPr>
          <w:color w:val="auto"/>
          <w:highlight w:val="none"/>
        </w:rPr>
      </w:r>
    </w:p>
    <w:p>
      <w:pPr>
        <w:widowControl w:val="false"/>
        <w:pBdr/>
        <w:tabs>
          <w:tab w:val="left" w:leader="none" w:pos="4762"/>
        </w:tabs>
        <w:spacing/>
        <w:ind w:left="4260"/>
        <w:jc w:val="both"/>
        <w:rPr>
          <w:color w:val="auto"/>
          <w:highlight w:val="none"/>
        </w:rPr>
      </w:pPr>
      <w:r>
        <w:rPr>
          <w:color w:val="auto"/>
          <w:highlight w:val="none"/>
          <w:lang w:eastAsia="en-US"/>
        </w:rPr>
      </w:r>
      <w:r>
        <w:rPr>
          <w:color w:val="auto"/>
          <w:highlight w:val="none"/>
        </w:rPr>
      </w:r>
      <w:r>
        <w:rPr>
          <w:color w:val="auto"/>
          <w:highlight w:val="none"/>
        </w:rPr>
      </w:r>
    </w:p>
    <w:tbl>
      <w:tblPr>
        <w:tblStyle w:val="9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50"/>
        <w:gridCol w:w="5151"/>
      </w:tblGrid>
      <w:tr>
        <w:trPr/>
        <w:tc>
          <w:tcPr>
            <w:tcBorders/>
            <w:tcW w:w="5150"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Замовник:</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color w:val="auto" w:themeColor="text1"/>
                <w:sz w:val="23"/>
                <w:szCs w:val="23"/>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color w:val="auto" w:themeColor="text1"/>
                <w:sz w:val="23"/>
                <w:szCs w:val="23"/>
                <w:highlight w:val="none"/>
              </w:rPr>
            </w:r>
            <w:r>
              <w:rPr>
                <w:rFonts w:ascii="Times New Roman" w:hAnsi="Times New Roman" w:cs="Times New Roman"/>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b w:val="0"/>
                <w:color w:val="auto" w:themeColor="text1"/>
                <w:sz w:val="23"/>
                <w:szCs w:val="23"/>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themeColor="text1"/>
                <w:sz w:val="23"/>
                <w:szCs w:val="23"/>
                <w:highlight w:val="none"/>
              </w:rPr>
            </w:r>
            <w:r>
              <w:rPr>
                <w:rFonts w:ascii="Times New Roman" w:hAnsi="Times New Roman" w:cs="Times New Roman"/>
                <w:b w:val="0"/>
                <w:color w:val="auto" w:themeColor="text1"/>
                <w:sz w:val="23"/>
                <w:szCs w:val="23"/>
                <w:highlight w:val="none"/>
              </w:rPr>
            </w:r>
          </w:p>
          <w:p>
            <w:pPr>
              <w:pBdr/>
              <w:spacing/>
              <w:ind/>
              <w:jc w:val="both"/>
              <w:rPr>
                <w:rFonts w:ascii="Times New Roman" w:hAnsi="Times New Roman" w:cs="Times New Roman"/>
                <w:color w:val="auto" w:themeColor="text1"/>
                <w:sz w:val="23"/>
                <w:szCs w:val="23"/>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color w:val="auto" w:themeColor="text1"/>
                <w:sz w:val="23"/>
                <w:szCs w:val="23"/>
                <w:highlight w:val="none"/>
              </w:rPr>
            </w:r>
            <w:r>
              <w:rPr>
                <w:rFonts w:ascii="Times New Roman" w:hAnsi="Times New Roman" w:cs="Times New Roman"/>
                <w:color w:val="auto" w:themeColor="text1"/>
                <w:sz w:val="23"/>
                <w:szCs w:val="23"/>
                <w:highlight w:val="none"/>
              </w:rPr>
            </w:r>
          </w:p>
          <w:p>
            <w:pPr>
              <w:pBdr/>
              <w:tabs>
                <w:tab w:val="left" w:leader="none" w:pos="1342"/>
              </w:tabs>
              <w:spacing/>
              <w:ind/>
              <w:contextualSpacing w:val="true"/>
              <w:jc w:val="left"/>
              <w:rPr>
                <w:rFonts w:ascii="Times New Roman" w:hAnsi="Times New Roman" w:cs="Times New Roman"/>
                <w:color w:val="auto" w:themeColor="text1"/>
                <w:sz w:val="23"/>
                <w:szCs w:val="23"/>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themeColor="text1"/>
                <w:sz w:val="23"/>
                <w:szCs w:val="23"/>
                <w:highlight w:val="none"/>
                <w:shd w:val="clear" w:color="auto" w:fill="ffffff"/>
              </w:rPr>
            </w:r>
            <w:r>
              <w:rPr>
                <w:rFonts w:ascii="Times New Roman" w:hAnsi="Times New Roman" w:cs="Times New Roman"/>
                <w:color w:val="auto" w:themeColor="text1"/>
                <w:sz w:val="23"/>
                <w:szCs w:val="23"/>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5151"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Виконавець</w:t>
            </w:r>
            <w:r>
              <w:rPr>
                <w:rFonts w:ascii="Times New Roman" w:hAnsi="Times New Roman"/>
                <w:b/>
                <w:color w:val="auto"/>
                <w:sz w:val="24"/>
                <w:szCs w:val="24"/>
                <w:highlight w:val="none"/>
              </w:rPr>
              <w:t xml:space="preserve">:</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tabs>
          <w:tab w:val="left" w:leader="none" w:pos="4762"/>
        </w:tabs>
        <w:spacing/>
        <w:ind/>
        <w:jc w:val="both"/>
        <w:rPr>
          <w:color w:val="auto"/>
          <w:highlight w:val="none"/>
        </w:rPr>
      </w:pPr>
      <w:r>
        <w:rPr>
          <w:color w:val="auto"/>
          <w:highlight w:val="none"/>
          <w:lang w:eastAsia="en-US"/>
        </w:rPr>
      </w:r>
      <w:r>
        <w:rPr>
          <w:color w:val="auto"/>
          <w:highlight w:val="none"/>
        </w:rPr>
      </w:r>
      <w:r>
        <w:rPr>
          <w:color w:val="auto"/>
          <w:highlight w:val="none"/>
        </w:rPr>
      </w:r>
    </w:p>
    <w:p>
      <w:pPr>
        <w:widowControl w:val="false"/>
        <w:pBdr/>
        <w:spacing w:line="1" w:lineRule="exact"/>
        <w:ind/>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pBdr/>
        <w:spacing/>
        <w:ind/>
        <w:rPr>
          <w:rFonts w:ascii="Courier New" w:hAnsi="Courier New" w:eastAsia="Courier New" w:cs="Courier New"/>
          <w:color w:val="auto"/>
          <w:highlight w:val="none"/>
        </w:rPr>
        <w:sectPr>
          <w:footnotePr/>
          <w:endnotePr/>
          <w:type w:val="nextPage"/>
          <w:pgSz w:h="16840" w:orient="landscape" w:w="11900"/>
          <w:pgMar w:top="536" w:right="511" w:bottom="774" w:left="1078" w:header="108" w:footer="3" w:gutter="0"/>
          <w:cols w:num="1" w:sep="0" w:space="720" w:equalWidth="1"/>
        </w:sect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widowControl w:val="false"/>
        <w:pBdr/>
        <w:spacing w:line="199" w:lineRule="exact"/>
        <w:ind/>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widowControl w:val="false"/>
        <w:pBdr/>
        <w:tabs>
          <w:tab w:val="left" w:leader="underscore" w:pos="960"/>
          <w:tab w:val="left" w:leader="underscore" w:pos="1819"/>
        </w:tabs>
        <w:spacing/>
        <w:ind/>
        <w:jc w:val="right"/>
        <w:rPr>
          <w:color w:val="auto"/>
          <w:highlight w:val="none"/>
        </w:rPr>
      </w:pPr>
      <w:r>
        <w:rPr>
          <w:color w:val="auto"/>
          <w:highlight w:val="none"/>
          <w:lang w:bidi="uk-UA"/>
        </w:rPr>
        <w:t xml:space="preserve">Додаток №2 </w:t>
      </w:r>
      <w:r>
        <w:rPr>
          <w:color w:val="auto"/>
          <w:highlight w:val="none"/>
        </w:rPr>
      </w:r>
      <w:r>
        <w:rPr>
          <w:color w:val="auto"/>
          <w:highlight w:val="none"/>
        </w:rPr>
      </w:r>
    </w:p>
    <w:p>
      <w:pPr>
        <w:widowControl w:val="false"/>
        <w:pBdr/>
        <w:tabs>
          <w:tab w:val="left" w:leader="underscore" w:pos="960"/>
          <w:tab w:val="left" w:leader="underscore" w:pos="1819"/>
        </w:tabs>
        <w:spacing/>
        <w:ind/>
        <w:jc w:val="right"/>
        <w:rPr>
          <w:color w:val="auto"/>
          <w:highlight w:val="none"/>
        </w:rPr>
      </w:pPr>
      <w:r>
        <w:rPr>
          <w:color w:val="auto"/>
          <w:highlight w:val="none"/>
          <w:lang w:bidi="uk-UA"/>
        </w:rPr>
        <w:t xml:space="preserve">до договору №__________</w:t>
      </w:r>
      <w:r>
        <w:rPr>
          <w:color w:val="auto"/>
          <w:highlight w:val="none"/>
        </w:rPr>
      </w:r>
      <w:r>
        <w:rPr>
          <w:color w:val="auto"/>
          <w:highlight w:val="none"/>
        </w:rPr>
      </w:r>
    </w:p>
    <w:p>
      <w:pPr>
        <w:widowControl w:val="false"/>
        <w:pBdr/>
        <w:tabs>
          <w:tab w:val="left" w:leader="underscore" w:pos="960"/>
          <w:tab w:val="left" w:leader="underscore" w:pos="1819"/>
        </w:tabs>
        <w:spacing/>
        <w:ind/>
        <w:jc w:val="right"/>
        <w:rPr>
          <w:color w:val="auto"/>
          <w:sz w:val="22"/>
          <w:szCs w:val="22"/>
          <w:highlight w:val="none"/>
        </w:rPr>
      </w:pPr>
      <w:r>
        <w:rPr>
          <w:color w:val="auto"/>
          <w:highlight w:val="none"/>
          <w:lang w:bidi="uk-UA"/>
        </w:rPr>
        <w:t xml:space="preserve">від </w:t>
      </w:r>
      <w:r>
        <w:rPr>
          <w:color w:val="auto"/>
          <w:highlight w:val="none"/>
          <w:lang w:eastAsia="ru-RU" w:bidi="ru-RU"/>
        </w:rPr>
        <w:t xml:space="preserve">«</w:t>
      </w:r>
      <w:r>
        <w:rPr>
          <w:color w:val="auto"/>
          <w:highlight w:val="none"/>
          <w:lang w:eastAsia="ru-RU" w:bidi="ru-RU"/>
        </w:rPr>
        <w:tab/>
        <w:t xml:space="preserve">» </w:t>
      </w:r>
      <w:r>
        <w:rPr>
          <w:color w:val="auto"/>
          <w:highlight w:val="none"/>
          <w:lang w:eastAsia="ru-RU" w:bidi="ru-RU"/>
        </w:rPr>
        <w:tab/>
        <w:t xml:space="preserve"> 2023 р.</w:t>
      </w:r>
      <w:r>
        <w:rPr>
          <w:color w:val="auto"/>
          <w:sz w:val="22"/>
          <w:szCs w:val="22"/>
          <w:highlight w:val="none"/>
        </w:rPr>
      </w:r>
      <w:r>
        <w:rPr>
          <w:color w:val="auto"/>
          <w:sz w:val="22"/>
          <w:szCs w:val="22"/>
          <w:highlight w:val="none"/>
        </w:rPr>
      </w:r>
    </w:p>
    <w:p>
      <w:pPr>
        <w:widowControl w:val="false"/>
        <w:pBdr/>
        <w:spacing w:line="346" w:lineRule="auto"/>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pacing w:line="346" w:lineRule="auto"/>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pacing w:line="346" w:lineRule="auto"/>
        <w:ind/>
        <w:jc w:val="center"/>
        <w:rPr>
          <w:color w:val="auto"/>
          <w:sz w:val="22"/>
          <w:szCs w:val="22"/>
          <w:highlight w:val="none"/>
        </w:rPr>
      </w:pPr>
      <w:r>
        <w:rPr>
          <w:b/>
          <w:bCs/>
          <w:color w:val="auto"/>
          <w:highlight w:val="none"/>
          <w:lang w:eastAsia="ru-RU" w:bidi="ru-RU"/>
        </w:rPr>
        <w:t xml:space="preserve">ПРОТОКОЛ</w:t>
      </w:r>
      <w:r>
        <w:rPr>
          <w:b/>
          <w:bCs/>
          <w:color w:val="auto"/>
          <w:highlight w:val="none"/>
          <w:lang w:eastAsia="ru-RU" w:bidi="ru-RU"/>
        </w:rPr>
        <w:br/>
        <w:t xml:space="preserve">погодження </w:t>
      </w:r>
      <w:r>
        <w:rPr>
          <w:b/>
          <w:bCs/>
          <w:color w:val="auto"/>
          <w:highlight w:val="none"/>
          <w:lang w:bidi="uk-UA"/>
        </w:rPr>
        <w:t xml:space="preserve">договірної ціни</w:t>
      </w:r>
      <w:r>
        <w:rPr>
          <w:color w:val="auto"/>
          <w:sz w:val="22"/>
          <w:szCs w:val="22"/>
          <w:highlight w:val="none"/>
        </w:rPr>
      </w:r>
      <w:r>
        <w:rPr>
          <w:color w:val="auto"/>
          <w:sz w:val="22"/>
          <w:szCs w:val="22"/>
          <w:highlight w:val="none"/>
        </w:rPr>
      </w:r>
    </w:p>
    <w:p>
      <w:pPr>
        <w:widowControl w:val="false"/>
        <w:pBdr/>
        <w:tabs>
          <w:tab w:val="left" w:leader="underscore" w:pos="5885"/>
          <w:tab w:val="left" w:leader="underscore" w:pos="9614"/>
        </w:tabs>
        <w:spacing/>
        <w:ind/>
        <w:jc w:val="both"/>
        <w:rPr>
          <w:b/>
          <w:bCs/>
          <w:color w:val="auto"/>
          <w:highlight w:val="none"/>
        </w:rPr>
      </w:pPr>
      <w:r>
        <w:rPr>
          <w:color w:val="auto"/>
          <w:highlight w:val="none"/>
          <w:lang w:eastAsia="ru-RU" w:bidi="ru-RU"/>
        </w:rPr>
        <w:t xml:space="preserve">Ми, що нижче </w:t>
      </w:r>
      <w:r>
        <w:rPr>
          <w:color w:val="auto"/>
          <w:highlight w:val="none"/>
          <w:lang w:bidi="uk-UA"/>
        </w:rPr>
        <w:t xml:space="preserve">підписалися, </w:t>
      </w:r>
      <w:r>
        <w:rPr>
          <w:b/>
          <w:bCs/>
          <w:color w:val="auto"/>
          <w:highlight w:val="none"/>
          <w:lang w:eastAsia="en-US"/>
        </w:rPr>
        <w:t xml:space="preserve">Департамент муніципальної безпеки виконавчого органу Київської міської ради (Київської міської державної адміністрації</w:t>
      </w:r>
      <w:r>
        <w:rPr>
          <w:color w:val="auto"/>
          <w:highlight w:val="none"/>
          <w:lang w:bidi="uk-UA"/>
        </w:rPr>
        <w:t xml:space="preserve">), </w:t>
      </w:r>
      <w:r>
        <w:rPr>
          <w:color w:val="auto"/>
          <w:highlight w:val="none"/>
          <w:lang w:eastAsia="ru-RU" w:bidi="ru-RU"/>
        </w:rPr>
        <w:t xml:space="preserve">в подальшому «Замовник», з </w:t>
      </w:r>
      <w:r>
        <w:rPr>
          <w:color w:val="auto"/>
          <w:highlight w:val="none"/>
          <w:lang w:bidi="uk-UA"/>
        </w:rPr>
        <w:t xml:space="preserve">однієї </w:t>
      </w:r>
      <w:r>
        <w:rPr>
          <w:color w:val="auto"/>
          <w:highlight w:val="none"/>
          <w:lang w:eastAsia="ru-RU" w:bidi="ru-RU"/>
        </w:rPr>
        <w:t xml:space="preserve">сторони та ____________________________________________________________</w:t>
      </w:r>
      <w:r>
        <w:rPr>
          <w:b/>
          <w:bCs/>
          <w:color w:val="auto"/>
          <w:highlight w:val="none"/>
        </w:rPr>
      </w:r>
      <w:r>
        <w:rPr>
          <w:b/>
          <w:bCs/>
          <w:color w:val="auto"/>
          <w:highlight w:val="none"/>
        </w:rPr>
      </w:r>
    </w:p>
    <w:p>
      <w:pPr>
        <w:widowControl w:val="false"/>
        <w:pBdr/>
        <w:shd w:val="clear" w:color="auto" w:fill="ffffff"/>
        <w:tabs>
          <w:tab w:val="left" w:leader="underscore" w:pos="5885"/>
          <w:tab w:val="left" w:leader="underscore" w:pos="9614"/>
        </w:tabs>
        <w:spacing/>
        <w:ind/>
        <w:jc w:val="both"/>
        <w:rPr>
          <w:color w:val="auto"/>
          <w:sz w:val="22"/>
          <w:szCs w:val="22"/>
          <w:highlight w:val="none"/>
        </w:rPr>
      </w:pPr>
      <w:r>
        <w:rPr>
          <w:b/>
          <w:color w:val="auto"/>
          <w:highlight w:val="none"/>
          <w:lang w:eastAsia="ru-RU" w:bidi="ru-RU"/>
        </w:rPr>
        <w:t xml:space="preserve">_____________________________ ______________________</w:t>
      </w:r>
      <w:r>
        <w:rPr>
          <w:color w:val="auto"/>
          <w:highlight w:val="none"/>
          <w:lang w:bidi="uk-UA"/>
        </w:rPr>
        <w:t xml:space="preserve"> </w:t>
      </w:r>
      <w:r>
        <w:rPr>
          <w:color w:val="auto"/>
          <w:highlight w:val="none"/>
          <w:lang w:eastAsia="ru-RU" w:bidi="ru-RU"/>
        </w:rPr>
        <w:t xml:space="preserve">в подальшому «Виконавець», з </w:t>
      </w:r>
      <w:r>
        <w:rPr>
          <w:color w:val="auto"/>
          <w:highlight w:val="none"/>
          <w:lang w:bidi="uk-UA"/>
        </w:rPr>
        <w:t xml:space="preserve">іншої </w:t>
      </w:r>
      <w:r>
        <w:rPr>
          <w:color w:val="auto"/>
          <w:highlight w:val="none"/>
          <w:lang w:eastAsia="ru-RU" w:bidi="ru-RU"/>
        </w:rPr>
        <w:t xml:space="preserve">сторони, </w:t>
      </w:r>
      <w:r>
        <w:rPr>
          <w:color w:val="auto"/>
          <w:highlight w:val="none"/>
          <w:lang w:bidi="uk-UA"/>
        </w:rPr>
        <w:t xml:space="preserve">засвідчуємо, </w:t>
      </w:r>
      <w:r>
        <w:rPr>
          <w:color w:val="auto"/>
          <w:highlight w:val="none"/>
          <w:lang w:eastAsia="ru-RU" w:bidi="ru-RU"/>
        </w:rPr>
        <w:t xml:space="preserve">що Сторонами досягнуто згоди про величину </w:t>
      </w:r>
      <w:r>
        <w:rPr>
          <w:color w:val="auto"/>
          <w:highlight w:val="none"/>
          <w:lang w:bidi="uk-UA"/>
        </w:rPr>
        <w:t xml:space="preserve">договірної ціни </w:t>
      </w:r>
      <w:r>
        <w:rPr>
          <w:color w:val="auto"/>
          <w:highlight w:val="none"/>
          <w:lang w:eastAsia="ru-RU" w:bidi="ru-RU"/>
        </w:rPr>
        <w:t xml:space="preserve">з</w:t>
      </w:r>
      <w:r>
        <w:rPr>
          <w:color w:val="auto"/>
          <w:sz w:val="22"/>
          <w:szCs w:val="22"/>
          <w:highlight w:val="none"/>
          <w:lang w:eastAsia="en-US"/>
        </w:rPr>
        <w:t xml:space="preserve"> </w:t>
      </w:r>
      <w:r>
        <w:rPr>
          <w:color w:val="auto"/>
          <w:highlight w:val="none"/>
          <w:lang w:eastAsia="ru-RU" w:bidi="ru-RU"/>
        </w:rPr>
        <w:t xml:space="preserve">виконання проектних робіт по об’єкту: «</w:t>
      </w:r>
      <w:r>
        <w:rPr>
          <w:color w:val="auto"/>
          <w:highlight w:val="none"/>
          <w:lang w:eastAsia="ru-RU" w:bidi="ru-RU"/>
        </w:rPr>
        <w:t xml:space="preserve">Нове будівництво будівлі </w:t>
      </w:r>
      <w:r>
        <w:rPr>
          <w:color w:val="auto"/>
          <w:highlight w:val="none"/>
          <w:lang w:eastAsia="ru-RU" w:bidi="ru-RU"/>
        </w:rPr>
        <w:t xml:space="preserve">пожежно</w:t>
      </w:r>
      <w:r>
        <w:rPr>
          <w:color w:val="auto"/>
          <w:highlight w:val="none"/>
          <w:lang w:eastAsia="ru-RU" w:bidi="ru-RU"/>
        </w:rPr>
        <w:t xml:space="preserve">-рятувальної частини Подільського району в </w:t>
      </w:r>
      <w:r>
        <w:rPr>
          <w:color w:val="auto"/>
          <w:highlight w:val="none"/>
          <w:lang w:eastAsia="ru-RU" w:bidi="ru-RU"/>
        </w:rPr>
        <w:t xml:space="preserve">м.Київ</w:t>
      </w:r>
      <w:r>
        <w:rPr>
          <w:color w:val="auto"/>
          <w:highlight w:val="none"/>
          <w:lang w:eastAsia="ru-RU" w:bidi="ru-RU"/>
        </w:rPr>
        <w:t xml:space="preserve"> на </w:t>
      </w:r>
      <w:r>
        <w:rPr>
          <w:color w:val="auto"/>
          <w:highlight w:val="none"/>
          <w:lang w:eastAsia="ru-RU" w:bidi="ru-RU"/>
        </w:rPr>
        <w:t xml:space="preserve">вул.Вишгородська</w:t>
      </w:r>
      <w:r>
        <w:rPr>
          <w:color w:val="auto"/>
          <w:highlight w:val="none"/>
          <w:lang w:eastAsia="ru-RU" w:bidi="ru-RU"/>
        </w:rPr>
        <w:t xml:space="preserve">, 21</w:t>
      </w:r>
      <w:r>
        <w:rPr>
          <w:color w:val="auto"/>
          <w:highlight w:val="none"/>
          <w:lang w:eastAsia="ru-RU" w:bidi="ru-RU"/>
        </w:rPr>
        <w:t xml:space="preserve">» за кодом ДК 021:2015 - 71240000-2 Архітектурні, інженерні та планувальні послуги. </w:t>
      </w:r>
      <w:r>
        <w:rPr>
          <w:color w:val="auto"/>
          <w:highlight w:val="none"/>
          <w:lang w:bidi="uk-UA"/>
        </w:rPr>
        <w:t xml:space="preserve">за Договором   № ______ від «___» _______________2023 року у сумі становить:</w:t>
      </w:r>
      <w:r>
        <w:rPr>
          <w:color w:val="auto"/>
          <w:sz w:val="22"/>
          <w:szCs w:val="22"/>
          <w:highlight w:val="none"/>
        </w:rPr>
      </w:r>
      <w:r>
        <w:rPr>
          <w:color w:val="auto"/>
          <w:sz w:val="22"/>
          <w:szCs w:val="22"/>
          <w:highlight w:val="none"/>
        </w:rPr>
      </w:r>
    </w:p>
    <w:p>
      <w:pPr>
        <w:widowControl w:val="false"/>
        <w:pBdr/>
        <w:tabs>
          <w:tab w:val="left" w:leader="underscore" w:pos="1776"/>
          <w:tab w:val="left" w:leader="underscore" w:pos="4454"/>
          <w:tab w:val="left" w:leader="underscore" w:pos="9360"/>
          <w:tab w:val="left" w:leader="underscore" w:pos="9360"/>
        </w:tabs>
        <w:spacing w:after="1560"/>
        <w:ind/>
        <w:jc w:val="both"/>
        <w:rPr>
          <w:color w:val="auto"/>
          <w:highlight w:val="none"/>
        </w:rPr>
      </w:pPr>
      <w:r>
        <w:rPr>
          <w:b/>
          <w:bCs/>
          <w:color w:val="auto"/>
          <w:highlight w:val="none"/>
          <w:lang w:bidi="uk-UA"/>
        </w:rPr>
        <w:t xml:space="preserve">_____________________________________________________________________________</w:t>
      </w:r>
      <w:r>
        <w:rPr>
          <w:color w:val="auto"/>
          <w:highlight w:val="none"/>
          <w:lang w:bidi="uk-UA"/>
        </w:rPr>
        <w:br/>
      </w:r>
      <w:r>
        <w:rPr>
          <w:color w:val="auto"/>
          <w:highlight w:val="none"/>
        </w:rPr>
      </w:r>
      <w:r>
        <w:rPr>
          <w:color w:val="auto"/>
          <w:highlight w:val="none"/>
        </w:rPr>
      </w:r>
    </w:p>
    <w:tbl>
      <w:tblPr>
        <w:tblStyle w:val="90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7"/>
        <w:gridCol w:w="4678"/>
      </w:tblGrid>
      <w:tr>
        <w:trPr/>
        <w:tc>
          <w:tcPr>
            <w:tcBorders/>
            <w:tcW w:w="4677"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Замовник:</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pBdr/>
              <w:tabs>
                <w:tab w:val="left" w:leader="none" w:pos="1342"/>
              </w:tabs>
              <w:spacing/>
              <w:ind/>
              <w:contextualSpacing w:val="true"/>
              <w:jc w:val="left"/>
              <w:rPr>
                <w:rFonts w:ascii="Times New Roman" w:hAnsi="Times New Roman" w:cs="Times New Roman"/>
                <w:color w:val="auto"/>
                <w:sz w:val="24"/>
                <w:szCs w:val="24"/>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sz w:val="24"/>
                <w:szCs w:val="24"/>
                <w:highlight w:val="none"/>
                <w:shd w:val="clear" w:color="auto" w:fill="ffffff"/>
              </w:rPr>
            </w:r>
            <w:r>
              <w:rPr>
                <w:rFonts w:ascii="Times New Roman" w:hAnsi="Times New Roman" w:cs="Times New Roman"/>
                <w:color w:val="auto"/>
                <w:sz w:val="24"/>
                <w:szCs w:val="24"/>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4678" w:type="dxa"/>
            <w:textDirection w:val="lrTb"/>
            <w:noWrap w:val="false"/>
          </w:tcPr>
          <w:p>
            <w:pPr>
              <w:widowControl w:val="false"/>
              <w:pBdr/>
              <w:tabs>
                <w:tab w:val="left" w:leader="none" w:pos="4762"/>
              </w:tabs>
              <w:spacing/>
              <w:ind/>
              <w:jc w:val="both"/>
              <w:rPr>
                <w:rFonts w:ascii="Times New Roman" w:hAnsi="Times New Roman"/>
                <w:b/>
                <w:color w:val="auto"/>
                <w:sz w:val="24"/>
                <w:szCs w:val="24"/>
                <w:highlight w:val="none"/>
              </w:rPr>
            </w:pPr>
            <w:r>
              <w:rPr>
                <w:rFonts w:ascii="Times New Roman" w:hAnsi="Times New Roman"/>
                <w:b/>
                <w:color w:val="auto"/>
                <w:sz w:val="24"/>
                <w:szCs w:val="24"/>
                <w:highlight w:val="none"/>
              </w:rPr>
              <w:t xml:space="preserve">Виконавець</w:t>
            </w:r>
            <w:r>
              <w:rPr>
                <w:rFonts w:ascii="Times New Roman" w:hAnsi="Times New Roman"/>
                <w:b/>
                <w:color w:val="auto"/>
                <w:sz w:val="24"/>
                <w:szCs w:val="24"/>
                <w:highlight w:val="none"/>
              </w:rPr>
              <w:t xml:space="preserve">:</w:t>
            </w:r>
            <w:r>
              <w:rPr>
                <w:rFonts w:ascii="Times New Roman" w:hAnsi="Times New Roman"/>
                <w:b/>
                <w:color w:val="auto"/>
                <w:sz w:val="24"/>
                <w:szCs w:val="24"/>
                <w:highlight w:val="none"/>
              </w:rPr>
            </w:r>
            <w:r>
              <w:rPr>
                <w:rFonts w:ascii="Times New Roman" w:hAnsi="Times New Roman"/>
                <w:b/>
                <w:color w:val="auto"/>
                <w:sz w:val="24"/>
                <w:szCs w:val="24"/>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tabs>
          <w:tab w:val="left" w:leader="underscore" w:pos="1776"/>
          <w:tab w:val="left" w:leader="underscore" w:pos="4454"/>
          <w:tab w:val="left" w:leader="underscore" w:pos="9360"/>
          <w:tab w:val="left" w:leader="underscore" w:pos="9360"/>
        </w:tabs>
        <w:spacing w:after="1560"/>
        <w:ind/>
        <w:jc w:val="both"/>
        <w:rPr>
          <w:color w:val="auto"/>
          <w:highlight w:val="none"/>
        </w:rPr>
      </w:pPr>
      <w:r>
        <w:rPr>
          <w:color w:val="auto"/>
          <w:highlight w:val="none"/>
          <w:lang w:bidi="uk-UA"/>
        </w:rPr>
      </w:r>
      <w:r>
        <w:rPr>
          <w:color w:val="auto"/>
          <w:highlight w:val="none"/>
        </w:rPr>
      </w:r>
      <w:r>
        <w:rPr>
          <w:color w:val="auto"/>
          <w:highlight w:val="none"/>
        </w:rPr>
      </w:r>
    </w:p>
    <w:p>
      <w:pPr>
        <w:pBdr/>
        <w:spacing w:after="160" w:line="259" w:lineRule="auto"/>
        <w:ind/>
        <w:rPr>
          <w:color w:val="auto"/>
          <w:highlight w:val="none"/>
        </w:rPr>
      </w:pPr>
      <w:r>
        <w:rPr>
          <w:rFonts w:ascii="Courier New" w:hAnsi="Courier New" w:eastAsia="Courier New" w:cs="Courier New"/>
          <w:color w:val="auto"/>
          <w:highlight w:val="none"/>
          <w:lang w:bidi="uk-UA"/>
        </w:rPr>
        <w:br w:type="page" w:clear="all"/>
      </w:r>
      <w:r>
        <w:rPr>
          <w:color w:val="auto"/>
          <w:highlight w:val="none"/>
        </w:rPr>
      </w:r>
      <w:r>
        <w:rPr>
          <w:color w:val="auto"/>
          <w:highlight w:val="none"/>
        </w:rPr>
      </w:r>
    </w:p>
    <w:p>
      <w:pPr>
        <w:widowControl w:val="false"/>
        <w:pBdr/>
        <w:spacing/>
        <w:ind/>
        <w:jc w:val="right"/>
        <w:rPr>
          <w:color w:val="auto"/>
          <w:highlight w:val="none"/>
        </w:rPr>
      </w:pPr>
      <w:r>
        <w:rPr>
          <w:color w:val="auto"/>
          <w:highlight w:val="none"/>
          <w:lang w:bidi="uk-UA"/>
        </w:rPr>
        <w:t xml:space="preserve">Додаток № 3</w:t>
      </w:r>
      <w:r>
        <w:rPr>
          <w:color w:val="auto"/>
          <w:highlight w:val="none"/>
        </w:rPr>
      </w:r>
      <w:r>
        <w:rPr>
          <w:color w:val="auto"/>
          <w:highlight w:val="none"/>
        </w:rPr>
      </w:r>
    </w:p>
    <w:p>
      <w:pPr>
        <w:widowControl w:val="false"/>
        <w:pBdr/>
        <w:spacing/>
        <w:ind/>
        <w:jc w:val="right"/>
        <w:rPr>
          <w:color w:val="auto"/>
          <w:sz w:val="22"/>
          <w:szCs w:val="22"/>
          <w:highlight w:val="none"/>
        </w:rPr>
      </w:pPr>
      <w:r>
        <w:rPr>
          <w:color w:val="auto"/>
          <w:sz w:val="22"/>
          <w:szCs w:val="22"/>
          <w:highlight w:val="none"/>
          <w:lang w:eastAsia="en-US"/>
        </w:rPr>
        <w:t xml:space="preserve">до № _______ від ___________ 2023 року</w:t>
      </w:r>
      <w:r>
        <w:rPr>
          <w:color w:val="auto"/>
          <w:sz w:val="22"/>
          <w:szCs w:val="22"/>
          <w:highlight w:val="none"/>
        </w:rPr>
      </w:r>
      <w:r>
        <w:rPr>
          <w:color w:val="auto"/>
          <w:sz w:val="22"/>
          <w:szCs w:val="22"/>
          <w:highlight w:val="none"/>
        </w:rPr>
      </w:r>
    </w:p>
    <w:p>
      <w:pPr>
        <w:widowControl w:val="false"/>
        <w:pBdr/>
        <w:spacing/>
        <w:ind/>
        <w:jc w:val="right"/>
        <w:rPr>
          <w:color w:val="auto"/>
          <w:sz w:val="22"/>
          <w:szCs w:val="22"/>
          <w:highlight w:val="none"/>
        </w:rPr>
      </w:pPr>
      <w:r>
        <w:rPr>
          <w:color w:val="auto"/>
          <w:sz w:val="22"/>
          <w:szCs w:val="22"/>
          <w:highlight w:val="none"/>
          <w:lang w:eastAsia="en-US"/>
        </w:rPr>
        <w:t xml:space="preserve"> </w:t>
      </w:r>
      <w:r>
        <w:rPr>
          <w:color w:val="auto"/>
          <w:sz w:val="22"/>
          <w:szCs w:val="22"/>
          <w:highlight w:val="none"/>
        </w:rPr>
      </w:r>
      <w:r>
        <w:rPr>
          <w:color w:val="auto"/>
          <w:sz w:val="22"/>
          <w:szCs w:val="22"/>
          <w:highlight w:val="none"/>
        </w:rPr>
      </w:r>
    </w:p>
    <w:p>
      <w:pPr>
        <w:widowControl w:val="false"/>
        <w:pBdr/>
        <w:shd w:val="clear" w:color="auto" w:fill="ffffff"/>
        <w:tabs>
          <w:tab w:val="left" w:leader="underscore" w:pos="3389"/>
        </w:tabs>
        <w:spacing/>
        <w:ind/>
        <w:jc w:val="center"/>
        <w:rPr>
          <w:b/>
          <w:bCs/>
          <w:color w:val="auto"/>
          <w:highlight w:val="none"/>
        </w:rPr>
      </w:pPr>
      <w:r>
        <w:rPr>
          <w:b/>
          <w:bCs/>
          <w:color w:val="auto"/>
          <w:highlight w:val="none"/>
          <w:lang w:eastAsia="ru-RU" w:bidi="ru-RU"/>
        </w:rPr>
      </w:r>
      <w:r>
        <w:rPr>
          <w:b/>
          <w:bCs/>
          <w:color w:val="auto"/>
          <w:highlight w:val="none"/>
        </w:rPr>
      </w:r>
      <w:r>
        <w:rPr>
          <w:b/>
          <w:bCs/>
          <w:color w:val="auto"/>
          <w:highlight w:val="none"/>
        </w:rPr>
      </w:r>
    </w:p>
    <w:p>
      <w:pPr>
        <w:widowControl w:val="false"/>
        <w:pBdr/>
        <w:shd w:val="clear" w:color="auto" w:fill="ffffff"/>
        <w:tabs>
          <w:tab w:val="left" w:leader="underscore" w:pos="3389"/>
        </w:tabs>
        <w:spacing/>
        <w:ind/>
        <w:jc w:val="center"/>
        <w:rPr>
          <w:color w:val="auto"/>
          <w:highlight w:val="none"/>
        </w:rPr>
      </w:pPr>
      <w:r>
        <w:rPr>
          <w:b/>
          <w:bCs/>
          <w:color w:val="auto"/>
          <w:highlight w:val="none"/>
          <w:lang w:eastAsia="ru-RU" w:bidi="ru-RU"/>
        </w:rPr>
        <w:t xml:space="preserve">КАЛЕНДАРНИЙ ПЛАН РОБОТИ</w:t>
      </w:r>
      <w:r>
        <w:rPr>
          <w:b/>
          <w:bCs/>
          <w:color w:val="auto"/>
          <w:highlight w:val="none"/>
          <w:lang w:eastAsia="ru-RU" w:bidi="ru-RU"/>
        </w:rPr>
        <w:br/>
      </w:r>
      <w:r>
        <w:rPr>
          <w:color w:val="auto"/>
          <w:highlight w:val="none"/>
          <w:lang w:eastAsia="ru-RU" w:bidi="ru-RU"/>
        </w:rPr>
        <w:t xml:space="preserve">виконання проектних </w:t>
      </w:r>
      <w:r>
        <w:rPr>
          <w:color w:val="auto"/>
          <w:highlight w:val="none"/>
          <w:lang w:bidi="uk-UA"/>
        </w:rPr>
        <w:t xml:space="preserve">робіт по об’єкту: «</w:t>
      </w:r>
      <w:r>
        <w:rPr>
          <w:color w:val="auto"/>
          <w:highlight w:val="none"/>
          <w:lang w:bidi="uk-UA"/>
        </w:rPr>
        <w:t xml:space="preserve">Нове будівництво будівлі </w:t>
      </w:r>
      <w:r>
        <w:rPr>
          <w:color w:val="auto"/>
          <w:highlight w:val="none"/>
          <w:lang w:bidi="uk-UA"/>
        </w:rPr>
        <w:t xml:space="preserve">пожежно</w:t>
      </w:r>
      <w:r>
        <w:rPr>
          <w:color w:val="auto"/>
          <w:highlight w:val="none"/>
          <w:lang w:bidi="uk-UA"/>
        </w:rPr>
        <w:t xml:space="preserve">-рятувальної частини Подільського району в м.Київ на </w:t>
      </w:r>
      <w:r>
        <w:rPr>
          <w:color w:val="auto"/>
          <w:highlight w:val="none"/>
          <w:lang w:bidi="uk-UA"/>
        </w:rPr>
        <w:t xml:space="preserve">вул.Вишгородська</w:t>
      </w:r>
      <w:r>
        <w:rPr>
          <w:color w:val="auto"/>
          <w:highlight w:val="none"/>
          <w:lang w:bidi="uk-UA"/>
        </w:rPr>
        <w:t xml:space="preserve">, 21</w:t>
      </w:r>
      <w:r>
        <w:rPr>
          <w:color w:val="auto"/>
          <w:highlight w:val="none"/>
          <w:lang w:bidi="uk-UA"/>
        </w:rPr>
        <w:t xml:space="preserve">»</w:t>
      </w:r>
      <w:r>
        <w:rPr>
          <w:color w:val="auto"/>
          <w:highlight w:val="none"/>
        </w:rPr>
      </w:r>
      <w:r>
        <w:rPr>
          <w:color w:val="auto"/>
          <w:highlight w:val="none"/>
        </w:rPr>
      </w:r>
    </w:p>
    <w:p>
      <w:pPr>
        <w:widowControl w:val="false"/>
        <w:pBdr/>
        <w:tabs>
          <w:tab w:val="left" w:leader="underscore" w:pos="3389"/>
        </w:tabs>
        <w:spacing/>
        <w:ind/>
        <w:jc w:val="center"/>
        <w:rPr>
          <w:color w:val="auto"/>
          <w:highlight w:val="none"/>
        </w:rPr>
      </w:pPr>
      <w:r>
        <w:rPr>
          <w:color w:val="auto"/>
          <w:highlight w:val="none"/>
          <w:lang w:bidi="uk-UA"/>
        </w:rPr>
        <w:t xml:space="preserve">За кодом ДК 021:2015 - 71240000-2 Архітектурні, інженерні та планувальні послуги.</w:t>
      </w:r>
      <w:r>
        <w:rPr>
          <w:color w:val="auto"/>
          <w:highlight w:val="none"/>
        </w:rPr>
      </w:r>
      <w:r>
        <w:rPr>
          <w:color w:val="auto"/>
          <w:highlight w:val="none"/>
        </w:rPr>
      </w:r>
    </w:p>
    <w:p>
      <w:pPr>
        <w:widowControl w:val="false"/>
        <w:pBdr/>
        <w:tabs>
          <w:tab w:val="left" w:leader="underscore" w:pos="3389"/>
        </w:tabs>
        <w:spacing/>
        <w:ind/>
        <w:jc w:val="center"/>
        <w:rPr>
          <w:color w:val="auto"/>
          <w:sz w:val="22"/>
          <w:szCs w:val="22"/>
          <w:highlight w:val="none"/>
        </w:rPr>
      </w:pPr>
      <w:r>
        <w:rPr>
          <w:color w:val="auto"/>
          <w:sz w:val="22"/>
          <w:szCs w:val="22"/>
          <w:highlight w:val="none"/>
          <w:lang w:eastAsia="en-US"/>
        </w:rPr>
      </w:r>
      <w:r>
        <w:rPr>
          <w:color w:val="auto"/>
          <w:sz w:val="22"/>
          <w:szCs w:val="22"/>
          <w:highlight w:val="none"/>
        </w:rPr>
      </w:r>
      <w:r>
        <w:rPr>
          <w:color w:val="auto"/>
          <w:sz w:val="22"/>
          <w:szCs w:val="22"/>
          <w:highlight w:val="none"/>
        </w:rPr>
      </w:r>
    </w:p>
    <w:tbl>
      <w:tblPr>
        <w:tblOverlap w:val="never"/>
        <w:tblW w:w="9498"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704"/>
        <w:gridCol w:w="2840"/>
        <w:gridCol w:w="2268"/>
        <w:gridCol w:w="1843"/>
        <w:gridCol w:w="1843"/>
      </w:tblGrid>
      <w:tr>
        <w:trPr>
          <w:trHeight w:val="643" w:hRule="exact"/>
        </w:trPr>
        <w:tc>
          <w:tcPr>
            <w:shd w:val="clear" w:color="auto" w:fill="ffffff"/>
            <w:tcBorders/>
            <w:tcW w:w="704" w:type="dxa"/>
            <w:textDirection w:val="lrTb"/>
            <w:noWrap w:val="false"/>
          </w:tcPr>
          <w:p>
            <w:pPr>
              <w:widowControl w:val="false"/>
              <w:pBdr/>
              <w:spacing/>
              <w:ind w:right="130" w:left="131"/>
              <w:jc w:val="center"/>
              <w:rPr>
                <w:color w:val="auto"/>
                <w:highlight w:val="none"/>
              </w:rPr>
            </w:pPr>
            <w:r>
              <w:rPr>
                <w:color w:val="auto"/>
                <w:highlight w:val="none"/>
                <w:lang w:bidi="uk-UA"/>
              </w:rPr>
              <w:t xml:space="preserve">№ п/п</w:t>
            </w:r>
            <w:r>
              <w:rPr>
                <w:color w:val="auto"/>
                <w:highlight w:val="none"/>
              </w:rPr>
            </w:r>
            <w:r>
              <w:rPr>
                <w:color w:val="auto"/>
                <w:highlight w:val="none"/>
              </w:rPr>
            </w:r>
          </w:p>
        </w:tc>
        <w:tc>
          <w:tcPr>
            <w:shd w:val="clear" w:color="auto" w:fill="ffffff"/>
            <w:tcBorders/>
            <w:tcW w:w="2840"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Назва робіт по договору</w:t>
            </w:r>
            <w:r>
              <w:rPr>
                <w:color w:val="auto"/>
                <w:highlight w:val="none"/>
              </w:rPr>
            </w:r>
            <w:r>
              <w:rPr>
                <w:color w:val="auto"/>
                <w:highlight w:val="none"/>
              </w:rPr>
            </w:r>
          </w:p>
        </w:tc>
        <w:tc>
          <w:tcPr>
            <w:shd w:val="clear" w:color="auto" w:fill="ffffff"/>
            <w:tcBorders/>
            <w:tcW w:w="2268"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Початок робіт</w:t>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Завершення робіт</w:t>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130" w:left="131"/>
              <w:jc w:val="center"/>
              <w:rPr>
                <w:color w:val="auto"/>
                <w:highlight w:val="none"/>
              </w:rPr>
            </w:pPr>
            <w:r>
              <w:rPr>
                <w:color w:val="auto"/>
                <w:highlight w:val="none"/>
                <w:lang w:bidi="uk-UA"/>
              </w:rPr>
              <w:t xml:space="preserve">Вартість, грн.</w:t>
            </w:r>
            <w:r>
              <w:rPr>
                <w:color w:val="auto"/>
                <w:highlight w:val="none"/>
              </w:rPr>
            </w:r>
            <w:r>
              <w:rPr>
                <w:color w:val="auto"/>
                <w:highlight w:val="none"/>
              </w:rPr>
            </w:r>
          </w:p>
          <w:p>
            <w:pPr>
              <w:widowControl w:val="false"/>
              <w:pBdr/>
              <w:spacing/>
              <w:ind w:right="130" w:left="131"/>
              <w:jc w:val="center"/>
              <w:rPr>
                <w:color w:val="auto"/>
                <w:highlight w:val="none"/>
              </w:rPr>
            </w:pPr>
            <w:r>
              <w:rPr>
                <w:color w:val="auto"/>
                <w:highlight w:val="none"/>
                <w:lang w:bidi="uk-UA"/>
              </w:rPr>
              <w:t xml:space="preserve">(з ПДВ)</w:t>
            </w:r>
            <w:r>
              <w:rPr>
                <w:color w:val="auto"/>
                <w:highlight w:val="none"/>
              </w:rPr>
            </w:r>
            <w:r>
              <w:rPr>
                <w:color w:val="auto"/>
                <w:highlight w:val="none"/>
              </w:rPr>
            </w:r>
          </w:p>
        </w:tc>
      </w:tr>
      <w:tr>
        <w:trPr>
          <w:trHeight w:val="1420"/>
        </w:trPr>
        <w:tc>
          <w:tcPr>
            <w:shd w:val="clear" w:color="auto" w:fill="ffffff"/>
            <w:tcBorders/>
            <w:tcW w:w="704" w:type="dxa"/>
            <w:vAlign w:val="center"/>
            <w:textDirection w:val="lrTb"/>
            <w:noWrap w:val="false"/>
          </w:tcPr>
          <w:p>
            <w:pPr>
              <w:widowControl w:val="false"/>
              <w:pBdr/>
              <w:spacing/>
              <w:ind w:right="-146"/>
              <w:jc w:val="center"/>
              <w:rPr>
                <w:color w:val="auto"/>
                <w:highlight w:val="none"/>
              </w:rPr>
            </w:pPr>
            <w:r>
              <w:rPr>
                <w:color w:val="auto"/>
                <w:highlight w:val="none"/>
                <w:lang w:bidi="uk-UA"/>
              </w:rPr>
              <w:t xml:space="preserve">1</w:t>
            </w:r>
            <w:r>
              <w:rPr>
                <w:color w:val="auto"/>
                <w:highlight w:val="none"/>
              </w:rPr>
            </w:r>
            <w:r>
              <w:rPr>
                <w:color w:val="auto"/>
                <w:highlight w:val="none"/>
              </w:rPr>
            </w:r>
          </w:p>
        </w:tc>
        <w:tc>
          <w:tcPr>
            <w:shd w:val="clear" w:color="auto" w:fill="ffffff"/>
            <w:tcBorders/>
            <w:tcW w:w="2840" w:type="dxa"/>
            <w:vAlign w:val="center"/>
            <w:textDirection w:val="lrTb"/>
            <w:noWrap w:val="false"/>
          </w:tcPr>
          <w:p>
            <w:pPr>
              <w:widowControl w:val="false"/>
              <w:pBdr/>
              <w:spacing/>
              <w:ind w:right="272" w:left="131"/>
              <w:rPr>
                <w:color w:val="auto"/>
                <w:highlight w:val="none"/>
              </w:rPr>
            </w:pPr>
            <w:r>
              <w:rPr>
                <w:color w:val="auto"/>
                <w:highlight w:val="none"/>
                <w:lang w:bidi="uk-UA"/>
              </w:rPr>
              <w:t xml:space="preserve">Проектна документація стадії П</w:t>
            </w:r>
            <w:r>
              <w:rPr>
                <w:color w:val="auto"/>
                <w:highlight w:val="none"/>
              </w:rPr>
            </w:r>
            <w:r>
              <w:rPr>
                <w:color w:val="auto"/>
                <w:highlight w:val="none"/>
              </w:rPr>
            </w:r>
          </w:p>
          <w:p>
            <w:pPr>
              <w:widowControl w:val="false"/>
              <w:pBdr/>
              <w:spacing/>
              <w:ind w:right="272" w:left="131"/>
              <w:rPr>
                <w:color w:val="auto"/>
                <w:highlight w:val="none"/>
              </w:rPr>
            </w:pPr>
            <w:r>
              <w:rPr>
                <w:color w:val="auto"/>
                <w:highlight w:val="none"/>
                <w:lang w:bidi="uk-UA"/>
              </w:rPr>
              <w:t xml:space="preserve">разом з позитивним висновком експертизи</w:t>
            </w:r>
            <w:r>
              <w:rPr>
                <w:color w:val="auto"/>
                <w:highlight w:val="none"/>
              </w:rPr>
            </w:r>
            <w:r>
              <w:rPr>
                <w:color w:val="auto"/>
                <w:highlight w:val="none"/>
              </w:rPr>
            </w:r>
          </w:p>
        </w:tc>
        <w:tc>
          <w:tcPr>
            <w:shd w:val="clear" w:color="auto" w:fill="ffffff"/>
            <w:tcBorders/>
            <w:tcW w:w="2268" w:type="dxa"/>
            <w:vAlign w:val="center"/>
            <w:textDirection w:val="lrTb"/>
            <w:noWrap w:val="false"/>
          </w:tcPr>
          <w:p>
            <w:pPr>
              <w:widowControl w:val="false"/>
              <w:pBdr/>
              <w:spacing/>
              <w:ind w:right="129" w:left="131"/>
              <w:rPr>
                <w:color w:val="auto"/>
                <w:highlight w:val="none"/>
              </w:rPr>
            </w:pPr>
            <w:r>
              <w:rPr>
                <w:color w:val="auto"/>
                <w:highlight w:val="none"/>
                <w:lang w:bidi="uk-UA"/>
              </w:rPr>
              <w:t xml:space="preserve">З моменту </w:t>
            </w:r>
            <w:r>
              <w:rPr>
                <w:color w:val="auto"/>
                <w:highlight w:val="none"/>
                <w:lang w:bidi="uk-UA"/>
              </w:rPr>
              <w:t xml:space="preserve">підписання договору</w:t>
            </w:r>
            <w:r>
              <w:rPr>
                <w:color w:val="auto"/>
                <w:highlight w:val="none"/>
              </w:rPr>
            </w:r>
            <w:r>
              <w:rPr>
                <w:color w:val="auto"/>
                <w:highlight w:val="none"/>
              </w:rPr>
            </w:r>
          </w:p>
        </w:tc>
        <w:tc>
          <w:tcPr>
            <w:shd w:val="clear" w:color="auto" w:fill="ffffff"/>
            <w:tcBorders/>
            <w:tcW w:w="1843" w:type="dxa"/>
            <w:vAlign w:val="center"/>
            <w:textDirection w:val="lrTb"/>
            <w:noWrap w:val="false"/>
          </w:tcPr>
          <w:p>
            <w:pPr>
              <w:widowControl w:val="false"/>
              <w:pBdr/>
              <w:spacing/>
              <w:ind w:right="129" w:left="131"/>
              <w:rPr>
                <w:color w:val="auto"/>
                <w:sz w:val="22"/>
                <w:szCs w:val="22"/>
                <w:highlight w:val="none"/>
              </w:rPr>
            </w:pPr>
            <w:r>
              <w:rPr>
                <w:color w:val="auto"/>
                <w:highlight w:val="none"/>
                <w:lang w:bidi="uk-UA"/>
              </w:rPr>
              <w:t xml:space="preserve">до </w:t>
            </w:r>
            <w:r>
              <w:rPr>
                <w:color w:val="auto"/>
                <w:sz w:val="22"/>
                <w:szCs w:val="22"/>
                <w:highlight w:val="none"/>
                <w:lang w:eastAsia="en-US"/>
              </w:rPr>
              <w:t xml:space="preserve">29</w:t>
            </w:r>
            <w:r>
              <w:rPr>
                <w:color w:val="auto"/>
                <w:sz w:val="22"/>
                <w:szCs w:val="22"/>
                <w:highlight w:val="none"/>
                <w:lang w:eastAsia="en-US"/>
              </w:rPr>
              <w:t xml:space="preserve">.</w:t>
            </w:r>
            <w:r>
              <w:rPr>
                <w:color w:val="auto"/>
                <w:sz w:val="22"/>
                <w:szCs w:val="22"/>
                <w:highlight w:val="none"/>
                <w:lang w:eastAsia="en-US"/>
              </w:rPr>
              <w:t xml:space="preserve">12</w:t>
            </w:r>
            <w:r>
              <w:rPr>
                <w:color w:val="auto"/>
                <w:sz w:val="22"/>
                <w:szCs w:val="22"/>
                <w:highlight w:val="none"/>
                <w:lang w:eastAsia="en-US"/>
              </w:rPr>
              <w:t xml:space="preserve">.202</w:t>
            </w:r>
            <w:r>
              <w:rPr>
                <w:color w:val="auto"/>
                <w:sz w:val="22"/>
                <w:szCs w:val="22"/>
                <w:highlight w:val="none"/>
                <w:lang w:eastAsia="en-US"/>
              </w:rPr>
              <w:t xml:space="preserve">3</w:t>
            </w:r>
            <w:r>
              <w:rPr>
                <w:color w:val="auto"/>
                <w:sz w:val="22"/>
                <w:szCs w:val="22"/>
                <w:highlight w:val="none"/>
                <w:lang w:eastAsia="en-US"/>
              </w:rPr>
              <w:t xml:space="preserve"> р.</w:t>
            </w:r>
            <w:r>
              <w:rPr>
                <w:color w:val="auto"/>
                <w:sz w:val="22"/>
                <w:szCs w:val="22"/>
                <w:highlight w:val="none"/>
              </w:rPr>
            </w:r>
            <w:r>
              <w:rPr>
                <w:color w:val="auto"/>
                <w:sz w:val="22"/>
                <w:szCs w:val="22"/>
                <w:highlight w:val="none"/>
              </w:rPr>
            </w:r>
          </w:p>
          <w:p>
            <w:pPr>
              <w:widowControl w:val="false"/>
              <w:pBdr/>
              <w:spacing/>
              <w:ind w:right="129" w:left="131"/>
              <w:rPr>
                <w:color w:val="auto"/>
                <w:highlight w:val="none"/>
              </w:rPr>
            </w:pPr>
            <w:r>
              <w:rPr>
                <w:color w:val="auto"/>
                <w:highlight w:val="none"/>
                <w:lang w:bidi="uk-UA"/>
              </w:rPr>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269" w:left="131"/>
              <w:rPr>
                <w:rFonts w:eastAsia="Courier New"/>
                <w:color w:val="auto"/>
                <w:sz w:val="22"/>
                <w:szCs w:val="22"/>
                <w:highlight w:val="none"/>
              </w:rPr>
            </w:pPr>
            <w:r>
              <w:rPr>
                <w:rFonts w:eastAsia="Courier New"/>
                <w:color w:val="auto"/>
                <w:sz w:val="22"/>
                <w:szCs w:val="22"/>
                <w:highlight w:val="none"/>
                <w:lang w:bidi="uk-UA"/>
              </w:rPr>
            </w:r>
            <w:r>
              <w:rPr>
                <w:rFonts w:eastAsia="Courier New"/>
                <w:color w:val="auto"/>
                <w:sz w:val="22"/>
                <w:szCs w:val="22"/>
                <w:highlight w:val="none"/>
              </w:rPr>
            </w:r>
            <w:r>
              <w:rPr>
                <w:rFonts w:eastAsia="Courier New"/>
                <w:color w:val="auto"/>
                <w:sz w:val="22"/>
                <w:szCs w:val="22"/>
                <w:highlight w:val="none"/>
              </w:rPr>
            </w:r>
          </w:p>
        </w:tc>
      </w:tr>
      <w:tr>
        <w:trPr>
          <w:trHeight w:val="1420"/>
        </w:trPr>
        <w:tc>
          <w:tcPr>
            <w:shd w:val="clear" w:color="auto" w:fill="ffffff"/>
            <w:tcBorders/>
            <w:tcW w:w="704" w:type="dxa"/>
            <w:vAlign w:val="center"/>
            <w:textDirection w:val="lrTb"/>
            <w:noWrap w:val="false"/>
          </w:tcPr>
          <w:p>
            <w:pPr>
              <w:widowControl w:val="false"/>
              <w:pBdr/>
              <w:spacing/>
              <w:ind w:right="-146"/>
              <w:jc w:val="center"/>
              <w:rPr>
                <w:color w:val="auto"/>
                <w:highlight w:val="none"/>
              </w:rPr>
            </w:pPr>
            <w:r>
              <w:rPr>
                <w:color w:val="auto"/>
                <w:highlight w:val="none"/>
                <w:lang w:bidi="uk-UA"/>
              </w:rPr>
              <w:t xml:space="preserve">2</w:t>
            </w:r>
            <w:r>
              <w:rPr>
                <w:color w:val="auto"/>
                <w:highlight w:val="none"/>
              </w:rPr>
            </w:r>
            <w:r>
              <w:rPr>
                <w:color w:val="auto"/>
                <w:highlight w:val="none"/>
              </w:rPr>
            </w:r>
          </w:p>
        </w:tc>
        <w:tc>
          <w:tcPr>
            <w:shd w:val="clear" w:color="auto" w:fill="ffffff"/>
            <w:tcBorders/>
            <w:tcW w:w="2840" w:type="dxa"/>
            <w:vAlign w:val="center"/>
            <w:textDirection w:val="lrTb"/>
            <w:noWrap w:val="false"/>
          </w:tcPr>
          <w:p>
            <w:pPr>
              <w:widowControl w:val="false"/>
              <w:pBdr/>
              <w:spacing/>
              <w:ind w:right="272" w:left="131"/>
              <w:rPr>
                <w:color w:val="auto"/>
                <w:highlight w:val="none"/>
              </w:rPr>
            </w:pPr>
            <w:r>
              <w:rPr>
                <w:color w:val="auto"/>
                <w:highlight w:val="none"/>
                <w:lang w:bidi="uk-UA"/>
              </w:rPr>
              <w:t xml:space="preserve">Проектна документація стадії Р</w:t>
            </w:r>
            <w:r>
              <w:rPr>
                <w:color w:val="auto"/>
                <w:highlight w:val="none"/>
              </w:rPr>
            </w:r>
            <w:r>
              <w:rPr>
                <w:color w:val="auto"/>
                <w:highlight w:val="none"/>
              </w:rPr>
            </w:r>
          </w:p>
        </w:tc>
        <w:tc>
          <w:tcPr>
            <w:shd w:val="clear" w:color="auto" w:fill="ffffff"/>
            <w:tcBorders/>
            <w:tcW w:w="2268" w:type="dxa"/>
            <w:vAlign w:val="center"/>
            <w:textDirection w:val="lrTb"/>
            <w:noWrap w:val="false"/>
          </w:tcPr>
          <w:p>
            <w:pPr>
              <w:widowControl w:val="false"/>
              <w:pBdr/>
              <w:spacing/>
              <w:ind w:right="129" w:left="131"/>
              <w:rPr>
                <w:color w:val="auto"/>
                <w:highlight w:val="none"/>
              </w:rPr>
            </w:pPr>
            <w:r>
              <w:rPr>
                <w:color w:val="auto"/>
                <w:highlight w:val="none"/>
                <w:lang w:bidi="uk-UA"/>
              </w:rPr>
              <w:t xml:space="preserve">З моменту виконання п.</w:t>
            </w:r>
            <w:r>
              <w:rPr>
                <w:color w:val="auto"/>
                <w:highlight w:val="none"/>
                <w:lang w:bidi="uk-UA"/>
              </w:rPr>
              <w:t xml:space="preserve">1</w:t>
            </w:r>
            <w:r>
              <w:rPr>
                <w:color w:val="auto"/>
                <w:highlight w:val="none"/>
                <w:lang w:bidi="uk-UA"/>
              </w:rPr>
              <w:t xml:space="preserve"> даної таблиці.</w:t>
            </w:r>
            <w:r>
              <w:rPr>
                <w:color w:val="auto"/>
                <w:highlight w:val="none"/>
              </w:rPr>
            </w:r>
            <w:r>
              <w:rPr>
                <w:color w:val="auto"/>
                <w:highlight w:val="none"/>
              </w:rPr>
            </w:r>
          </w:p>
        </w:tc>
        <w:tc>
          <w:tcPr>
            <w:shd w:val="clear" w:color="auto" w:fill="ffffff"/>
            <w:tcBorders/>
            <w:tcW w:w="1843" w:type="dxa"/>
            <w:vAlign w:val="center"/>
            <w:textDirection w:val="lrTb"/>
            <w:noWrap w:val="false"/>
          </w:tcPr>
          <w:p>
            <w:pPr>
              <w:widowControl w:val="false"/>
              <w:pBdr/>
              <w:spacing/>
              <w:ind w:right="129" w:left="131"/>
              <w:rPr>
                <w:color w:val="auto"/>
                <w:sz w:val="22"/>
                <w:szCs w:val="22"/>
                <w:highlight w:val="none"/>
              </w:rPr>
            </w:pPr>
            <w:r>
              <w:rPr>
                <w:color w:val="auto"/>
                <w:highlight w:val="none"/>
                <w:lang w:bidi="uk-UA"/>
              </w:rPr>
              <w:t xml:space="preserve">до </w:t>
            </w:r>
            <w:r>
              <w:rPr>
                <w:color w:val="auto"/>
                <w:sz w:val="22"/>
                <w:szCs w:val="22"/>
                <w:highlight w:val="none"/>
                <w:lang w:eastAsia="en-US"/>
              </w:rPr>
              <w:t xml:space="preserve">20.07.2024 р.</w:t>
            </w:r>
            <w:r>
              <w:rPr>
                <w:color w:val="auto"/>
                <w:sz w:val="22"/>
                <w:szCs w:val="22"/>
                <w:highlight w:val="none"/>
              </w:rPr>
            </w:r>
            <w:r>
              <w:rPr>
                <w:color w:val="auto"/>
                <w:sz w:val="22"/>
                <w:szCs w:val="22"/>
                <w:highlight w:val="none"/>
              </w:rPr>
            </w:r>
          </w:p>
          <w:p>
            <w:pPr>
              <w:widowControl w:val="false"/>
              <w:pBdr/>
              <w:spacing/>
              <w:ind w:right="129" w:left="131"/>
              <w:rPr>
                <w:color w:val="auto"/>
                <w:highlight w:val="none"/>
              </w:rPr>
            </w:pPr>
            <w:r>
              <w:rPr>
                <w:color w:val="auto"/>
                <w:highlight w:val="none"/>
                <w:lang w:bidi="uk-UA"/>
              </w:rPr>
            </w:r>
            <w:r>
              <w:rPr>
                <w:color w:val="auto"/>
                <w:highlight w:val="none"/>
              </w:rPr>
            </w:r>
            <w:r>
              <w:rPr>
                <w:color w:val="auto"/>
                <w:highlight w:val="none"/>
              </w:rPr>
            </w:r>
          </w:p>
        </w:tc>
        <w:tc>
          <w:tcPr>
            <w:shd w:val="clear" w:color="auto" w:fill="ffffff"/>
            <w:tcBorders/>
            <w:tcW w:w="1843" w:type="dxa"/>
            <w:textDirection w:val="lrTb"/>
            <w:noWrap w:val="false"/>
          </w:tcPr>
          <w:p>
            <w:pPr>
              <w:widowControl w:val="false"/>
              <w:pBdr/>
              <w:spacing/>
              <w:ind w:right="269" w:left="131"/>
              <w:rPr>
                <w:rFonts w:eastAsia="Courier New"/>
                <w:color w:val="auto"/>
                <w:sz w:val="22"/>
                <w:szCs w:val="22"/>
                <w:highlight w:val="none"/>
              </w:rPr>
            </w:pPr>
            <w:r>
              <w:rPr>
                <w:rFonts w:eastAsia="Courier New"/>
                <w:color w:val="auto"/>
                <w:sz w:val="22"/>
                <w:szCs w:val="22"/>
                <w:highlight w:val="none"/>
                <w:lang w:bidi="uk-UA"/>
              </w:rPr>
            </w:r>
            <w:r>
              <w:rPr>
                <w:rFonts w:eastAsia="Courier New"/>
                <w:color w:val="auto"/>
                <w:sz w:val="22"/>
                <w:szCs w:val="22"/>
                <w:highlight w:val="none"/>
              </w:rPr>
            </w:r>
            <w:r>
              <w:rPr>
                <w:rFonts w:eastAsia="Courier New"/>
                <w:color w:val="auto"/>
                <w:sz w:val="22"/>
                <w:szCs w:val="22"/>
                <w:highlight w:val="none"/>
              </w:rPr>
            </w:r>
          </w:p>
        </w:tc>
      </w:tr>
    </w:tbl>
    <w:p>
      <w:pPr>
        <w:widowControl w:val="false"/>
        <w:pBdr/>
        <w:spacing w:after="659" w:line="1" w:lineRule="exact"/>
        <w:ind w:firstLine="708"/>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tbl>
      <w:tblPr>
        <w:tblStyle w:val="902"/>
        <w:tblW w:w="0" w:type="auto"/>
        <w:tblInd w:w="4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7"/>
        <w:gridCol w:w="4678"/>
      </w:tblGrid>
      <w:tr>
        <w:trPr/>
        <w:tc>
          <w:tcPr>
            <w:tcBorders/>
            <w:tcW w:w="4677" w:type="dxa"/>
            <w:textDirection w:val="lrTb"/>
            <w:noWrap w:val="false"/>
          </w:tcPr>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Замовник:</w:t>
            </w:r>
            <w:r>
              <w:rPr>
                <w:rFonts w:ascii="Times New Roman" w:hAnsi="Times New Roman"/>
                <w:b/>
                <w:color w:val="auto"/>
                <w:highlight w:val="none"/>
              </w:rPr>
            </w:r>
            <w:r>
              <w:rPr>
                <w:rFonts w:ascii="Times New Roman" w:hAnsi="Times New Roman"/>
                <w:b/>
                <w:color w:val="auto"/>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Департамент муніципальної безпеки виконавчого органу Київської міської ради (Київської міської державної адміністрації)</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Юридична адреса: </w:t>
            </w:r>
            <w:r>
              <w:rPr>
                <w:rFonts w:ascii="Times New Roman" w:hAnsi="Times New Roman" w:eastAsia="Times New Roman" w:cs="Times New Roman"/>
                <w:b w:val="0"/>
                <w:color w:val="auto"/>
                <w:sz w:val="24"/>
                <w:szCs w:val="24"/>
                <w:highlight w:val="none"/>
                <w:lang w:eastAsia="ar-SA" w:bidi="ar-SA"/>
              </w:rPr>
              <w:t xml:space="preserve">вул. Вишгородська, буд. 21,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м. Київ</w:t>
            </w:r>
            <w:r>
              <w:rPr>
                <w:rFonts w:ascii="Times New Roman" w:hAnsi="Times New Roman" w:eastAsia="Times New Roman" w:cs="Times New Roman"/>
                <w:b w:val="0"/>
                <w:color w:val="auto"/>
                <w:sz w:val="24"/>
                <w:szCs w:val="24"/>
                <w:highlight w:val="none"/>
                <w:lang w:eastAsia="ar-SA" w:bidi="ar-SA"/>
              </w:rPr>
              <w:t xml:space="preserve"> , 04074</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тел</w:t>
            </w:r>
            <w:r>
              <w:rPr>
                <w:rFonts w:ascii="Times New Roman" w:hAnsi="Times New Roman" w:eastAsia="Times New Roman" w:cs="Times New Roman"/>
                <w:b w:val="0"/>
                <w:color w:val="auto"/>
                <w:sz w:val="24"/>
                <w:szCs w:val="24"/>
                <w:highlight w:val="none"/>
                <w:lang w:eastAsia="ar-SA" w:bidi="ar-SA"/>
              </w:rPr>
              <w:t xml:space="preserve">.: (044) 430-03-32, 430-11-15</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IBAN UA____________________________ </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в ДКСУ м. Київ</w:t>
            </w:r>
            <w:r>
              <w:rPr>
                <w:rFonts w:ascii="Times New Roman" w:hAnsi="Times New Roman" w:eastAsia="Times New Roman" w:cs="Times New Roman"/>
                <w:b w:val="0"/>
                <w:color w:val="auto"/>
                <w:sz w:val="24"/>
                <w:szCs w:val="24"/>
                <w:highlight w:val="none"/>
                <w:lang w:eastAsia="ar-SA" w:bidi="ar-SA"/>
              </w:rPr>
              <w:t xml:space="preserve">, </w:t>
            </w:r>
            <w:r>
              <w:rPr>
                <w:rFonts w:ascii="Times New Roman" w:hAnsi="Times New Roman" w:eastAsia="Times New Roman" w:cs="Times New Roman"/>
                <w:b w:val="0"/>
                <w:color w:val="auto"/>
                <w:sz w:val="24"/>
                <w:szCs w:val="24"/>
                <w:highlight w:val="none"/>
                <w:lang w:eastAsia="ar-SA" w:bidi="ar-SA"/>
              </w:rPr>
              <w:t xml:space="preserve">МФО: 820172</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код ЄДРПОУ </w:t>
            </w:r>
            <w:r>
              <w:rPr>
                <w:rFonts w:ascii="Times New Roman" w:hAnsi="Times New Roman" w:eastAsia="Times New Roman" w:cs="Times New Roman"/>
                <w:b w:val="0"/>
                <w:color w:val="auto"/>
                <w:sz w:val="24"/>
                <w:szCs w:val="24"/>
                <w:highlight w:val="none"/>
                <w:lang w:eastAsia="ar-SA" w:bidi="ar-SA"/>
              </w:rPr>
              <w:t xml:space="preserve">42698051</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E-</w:t>
            </w:r>
            <w:r>
              <w:rPr>
                <w:rFonts w:ascii="Times New Roman" w:hAnsi="Times New Roman" w:eastAsia="Times New Roman" w:cs="Times New Roman"/>
                <w:b w:val="0"/>
                <w:color w:val="auto"/>
                <w:sz w:val="24"/>
                <w:szCs w:val="24"/>
                <w:highlight w:val="none"/>
                <w:lang w:eastAsia="ar-SA" w:bidi="ar-SA"/>
              </w:rPr>
              <w:t xml:space="preserve">mail</w:t>
            </w:r>
            <w:r>
              <w:rPr>
                <w:rFonts w:ascii="Times New Roman" w:hAnsi="Times New Roman" w:eastAsia="Times New Roman" w:cs="Times New Roman"/>
                <w:b w:val="0"/>
                <w:color w:val="auto"/>
                <w:sz w:val="24"/>
                <w:szCs w:val="24"/>
                <w:highlight w:val="none"/>
                <w:lang w:eastAsia="ar-SA" w:bidi="ar-SA"/>
              </w:rPr>
              <w:t xml:space="preserve">: security@kuivcity.gov.ua</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t xml:space="preserve">Не платник ПДВ</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val="0"/>
                <w:color w:val="auto"/>
                <w:sz w:val="24"/>
                <w:szCs w:val="24"/>
                <w:highlight w:val="none"/>
              </w:rPr>
            </w:pPr>
            <w:r>
              <w:rPr>
                <w:rFonts w:ascii="Times New Roman" w:hAnsi="Times New Roman" w:eastAsia="Times New Roman" w:cs="Times New Roman"/>
                <w:b w:val="0"/>
                <w:color w:val="auto"/>
                <w:sz w:val="24"/>
                <w:szCs w:val="24"/>
                <w:highlight w:val="none"/>
                <w:lang w:eastAsia="ar-SA" w:bidi="ar-SA"/>
              </w:rPr>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pBdr/>
              <w:spacing/>
              <w:ind/>
              <w:jc w:val="both"/>
              <w:rPr>
                <w:rFonts w:ascii="Times New Roman" w:hAnsi="Times New Roman" w:cs="Times New Roman"/>
                <w:b/>
                <w:bCs/>
                <w:color w:val="auto"/>
                <w:sz w:val="24"/>
                <w:szCs w:val="24"/>
                <w:highlight w:val="none"/>
              </w:rPr>
            </w:pPr>
            <w:r>
              <w:rPr>
                <w:rFonts w:ascii="Times New Roman" w:hAnsi="Times New Roman" w:eastAsia="Times New Roman" w:cs="Times New Roman"/>
                <w:b/>
                <w:bCs/>
                <w:color w:val="auto"/>
                <w:sz w:val="24"/>
                <w:szCs w:val="24"/>
                <w:highlight w:val="none"/>
                <w:lang w:eastAsia="ar-SA" w:bidi="ar-SA"/>
              </w:rPr>
              <w:t xml:space="preserve">Директор</w:t>
            </w:r>
            <w:r>
              <w:rPr>
                <w:rFonts w:ascii="Times New Roman" w:hAnsi="Times New Roman" w:cs="Times New Roman"/>
                <w:b/>
                <w:bCs/>
                <w:color w:val="auto"/>
                <w:sz w:val="24"/>
                <w:szCs w:val="24"/>
                <w:highlight w:val="none"/>
              </w:rPr>
            </w:r>
            <w:r>
              <w:rPr>
                <w:rFonts w:ascii="Times New Roman" w:hAnsi="Times New Roman" w:cs="Times New Roman"/>
                <w:b/>
                <w:bCs/>
                <w:color w:val="auto"/>
                <w:sz w:val="24"/>
                <w:szCs w:val="24"/>
                <w:highlight w:val="none"/>
              </w:rPr>
            </w:r>
          </w:p>
          <w:p>
            <w:pPr>
              <w:pBdr/>
              <w:tabs>
                <w:tab w:val="left" w:leader="none" w:pos="1342"/>
              </w:tabs>
              <w:spacing/>
              <w:ind/>
              <w:contextualSpacing w:val="true"/>
              <w:jc w:val="left"/>
              <w:rPr>
                <w:rFonts w:ascii="Times New Roman" w:hAnsi="Times New Roman" w:cs="Times New Roman"/>
                <w:color w:val="auto"/>
                <w:sz w:val="24"/>
                <w:szCs w:val="24"/>
                <w:highlight w:val="none"/>
                <w:shd w:val="clear" w:color="auto" w:fill="ffffff"/>
              </w:rPr>
            </w:pPr>
            <w:r>
              <w:rPr>
                <w:rFonts w:ascii="Times New Roman" w:hAnsi="Times New Roman" w:eastAsia="Times New Roman" w:cs="Times New Roman"/>
                <w:color w:val="auto"/>
                <w:sz w:val="24"/>
                <w:szCs w:val="24"/>
                <w:highlight w:val="none"/>
                <w:shd w:val="clear" w:color="auto" w:fill="ffffff"/>
                <w:lang w:eastAsia="uk-UA" w:bidi="ar-SA"/>
              </w:rPr>
            </w:r>
            <w:r>
              <w:rPr>
                <w:rFonts w:ascii="Times New Roman" w:hAnsi="Times New Roman" w:cs="Times New Roman"/>
                <w:color w:val="auto"/>
                <w:sz w:val="24"/>
                <w:szCs w:val="24"/>
                <w:highlight w:val="none"/>
                <w:shd w:val="clear" w:color="auto" w:fill="ffffff"/>
              </w:rPr>
            </w:r>
            <w:r>
              <w:rPr>
                <w:rFonts w:ascii="Times New Roman" w:hAnsi="Times New Roman" w:cs="Times New Roman"/>
                <w:color w:val="auto"/>
                <w:sz w:val="24"/>
                <w:szCs w:val="24"/>
                <w:highlight w:val="none"/>
                <w:shd w:val="clear" w:color="auto" w:fill="ffffff"/>
              </w:rPr>
            </w:r>
          </w:p>
          <w:p>
            <w:pPr>
              <w:widowControl w:val="true"/>
              <w:pBdr>
                <w:top w:val="none" w:color="000000" w:sz="4" w:space="0"/>
                <w:left w:val="none" w:color="000000" w:sz="4" w:space="0"/>
                <w:bottom w:val="none" w:color="000000" w:sz="4" w:space="0"/>
                <w:right w:val="none" w:color="000000" w:sz="4" w:space="0"/>
                <w:between w:val="none" w:color="000000" w:sz="4" w:space="0"/>
              </w:pBdr>
              <w:spacing/>
              <w:ind/>
              <w:jc w:val="left"/>
              <w:rPr>
                <w:rFonts w:ascii="Times New Roman" w:hAnsi="Times New Roman" w:cs="Times New Roman"/>
                <w:b w:val="0"/>
                <w:color w:val="auto"/>
                <w:sz w:val="24"/>
                <w:szCs w:val="24"/>
                <w:highlight w:val="none"/>
              </w:rPr>
            </w:pPr>
            <w:r>
              <w:rPr>
                <w:rFonts w:ascii="Times New Roman" w:hAnsi="Times New Roman" w:eastAsia="Times New Roman" w:cs="Times New Roman"/>
                <w:color w:val="auto"/>
                <w:sz w:val="24"/>
                <w:szCs w:val="24"/>
                <w:highlight w:val="none"/>
                <w:lang w:eastAsia="ar-SA" w:bidi="ar-SA"/>
              </w:rPr>
              <w:t xml:space="preserve">_____________________ </w:t>
            </w:r>
            <w:r>
              <w:rPr>
                <w:rFonts w:ascii="Times New Roman" w:hAnsi="Times New Roman" w:eastAsia="Times New Roman" w:cs="Times New Roman"/>
                <w:b/>
                <w:bCs/>
                <w:color w:val="auto"/>
                <w:sz w:val="24"/>
                <w:szCs w:val="24"/>
                <w:highlight w:val="none"/>
                <w:lang w:eastAsia="ar-SA" w:bidi="ar-SA"/>
              </w:rPr>
              <w:t xml:space="preserve">Роман ТКАЧУК</w:t>
            </w:r>
            <w:r>
              <w:rPr>
                <w:rFonts w:ascii="Times New Roman" w:hAnsi="Times New Roman" w:cs="Times New Roman"/>
                <w:b w:val="0"/>
                <w:color w:val="auto"/>
                <w:sz w:val="24"/>
                <w:szCs w:val="24"/>
                <w:highlight w:val="none"/>
              </w:rPr>
            </w:r>
            <w:r>
              <w:rPr>
                <w:rFonts w:ascii="Times New Roman" w:hAnsi="Times New Roman" w:cs="Times New Roman"/>
                <w:b w:val="0"/>
                <w:color w:val="auto"/>
                <w:sz w:val="24"/>
                <w:szCs w:val="24"/>
                <w:highlight w:val="none"/>
              </w:rPr>
            </w:r>
          </w:p>
          <w:p>
            <w:pPr>
              <w:widowControl w:val="false"/>
              <w:pBdr/>
              <w:tabs>
                <w:tab w:val="left" w:leader="none" w:pos="4762"/>
              </w:tabs>
              <w:spacing/>
              <w:ind/>
              <w:jc w:val="both"/>
              <w:rPr>
                <w:rFonts w:ascii="Times New Roman" w:hAnsi="Times New Roman"/>
                <w:color w:val="auto"/>
                <w:highlight w:val="none"/>
              </w:rPr>
            </w:pPr>
            <w:r>
              <w:rPr>
                <w:rFonts w:ascii="Times New Roman" w:hAnsi="Times New Roman"/>
                <w:color w:val="auto"/>
                <w:highlight w:val="none"/>
              </w:rPr>
            </w:r>
            <w:r>
              <w:rPr>
                <w:rFonts w:ascii="Times New Roman" w:hAnsi="Times New Roman"/>
                <w:color w:val="auto"/>
                <w:highlight w:val="none"/>
              </w:rPr>
            </w:r>
            <w:r>
              <w:rPr>
                <w:rFonts w:ascii="Times New Roman" w:hAnsi="Times New Roman"/>
                <w:color w:val="auto"/>
                <w:highlight w:val="none"/>
              </w:rPr>
            </w:r>
          </w:p>
        </w:tc>
        <w:tc>
          <w:tcPr>
            <w:tcBorders/>
            <w:tcW w:w="4678" w:type="dxa"/>
            <w:textDirection w:val="lrTb"/>
            <w:noWrap w:val="false"/>
          </w:tcPr>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Виконавець</w:t>
            </w:r>
            <w:r>
              <w:rPr>
                <w:rFonts w:ascii="Times New Roman" w:hAnsi="Times New Roman"/>
                <w:b/>
                <w:color w:val="auto"/>
                <w:highlight w:val="none"/>
              </w:rPr>
              <w:t xml:space="preserve">:</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p>
            <w:pPr>
              <w:widowControl w:val="false"/>
              <w:pBdr/>
              <w:tabs>
                <w:tab w:val="left" w:leader="none" w:pos="4762"/>
              </w:tabs>
              <w:spacing/>
              <w:ind/>
              <w:jc w:val="both"/>
              <w:rPr>
                <w:rFonts w:ascii="Times New Roman" w:hAnsi="Times New Roman"/>
                <w:b/>
                <w:color w:val="auto"/>
                <w:highlight w:val="none"/>
              </w:rPr>
            </w:pPr>
            <w:r>
              <w:rPr>
                <w:rFonts w:ascii="Times New Roman" w:hAnsi="Times New Roman"/>
                <w:b/>
                <w:color w:val="auto"/>
                <w:highlight w:val="none"/>
              </w:rPr>
              <w:t xml:space="preserve">_______________________________________</w:t>
            </w:r>
            <w:r>
              <w:rPr>
                <w:rFonts w:ascii="Times New Roman" w:hAnsi="Times New Roman"/>
                <w:b/>
                <w:color w:val="auto"/>
                <w:highlight w:val="none"/>
              </w:rPr>
            </w:r>
            <w:r>
              <w:rPr>
                <w:rFonts w:ascii="Times New Roman" w:hAnsi="Times New Roman"/>
                <w:b/>
                <w:color w:val="auto"/>
                <w:highlight w:val="none"/>
              </w:rPr>
            </w:r>
          </w:p>
        </w:tc>
      </w:tr>
    </w:tbl>
    <w:p>
      <w:pPr>
        <w:widowControl w:val="false"/>
        <w:pBdr/>
        <w:spacing w:after="659" w:line="1" w:lineRule="exact"/>
        <w:ind w:firstLine="708"/>
        <w:rPr>
          <w:rFonts w:ascii="Courier New" w:hAnsi="Courier New" w:eastAsia="Courier New" w:cs="Courier New"/>
          <w:color w:val="auto"/>
          <w:highlight w:val="none"/>
        </w:rPr>
      </w:pPr>
      <w:r>
        <w:rPr>
          <w:rFonts w:ascii="Courier New" w:hAnsi="Courier New" w:eastAsia="Courier New" w:cs="Courier New"/>
          <w:color w:val="auto"/>
          <w:highlight w:val="none"/>
          <w:lang w:bidi="uk-UA"/>
        </w:rPr>
      </w:r>
      <w:r>
        <w:rPr>
          <w:rFonts w:ascii="Courier New" w:hAnsi="Courier New" w:eastAsia="Courier New" w:cs="Courier New"/>
          <w:color w:val="auto"/>
          <w:highlight w:val="none"/>
        </w:rPr>
      </w:r>
      <w:r>
        <w:rPr>
          <w:rFonts w:ascii="Courier New" w:hAnsi="Courier New" w:eastAsia="Courier New" w:cs="Courier New"/>
          <w:color w:val="auto"/>
          <w:highlight w:val="none"/>
        </w:rPr>
      </w:r>
    </w:p>
    <w:p>
      <w:pPr>
        <w:pBdr/>
        <w:spacing/>
        <w:ind w:firstLine="566"/>
        <w:jc w:val="center"/>
        <w:rPr>
          <w:color w:val="auto"/>
          <w:highlight w:val="none"/>
        </w:rPr>
      </w:pPr>
      <w:r>
        <w:rPr>
          <w:color w:val="auto"/>
          <w:highlight w:val="none"/>
        </w:rPr>
        <w:t xml:space="preserve"> </w:t>
      </w:r>
      <w:r>
        <w:rPr>
          <w:color w:val="auto"/>
          <w:highlight w:val="none"/>
        </w:rPr>
      </w:r>
      <w:r>
        <w:rPr>
          <w:color w:val="auto"/>
          <w:highlight w:val="none"/>
        </w:rPr>
      </w:r>
    </w:p>
    <w:p>
      <w:pPr>
        <w:pBdr/>
        <w:spacing/>
        <w:ind w:firstLine="566"/>
        <w:rPr>
          <w:color w:val="auto"/>
          <w:highlight w:val="none"/>
        </w:rPr>
      </w:pPr>
      <w:r>
        <w:rPr>
          <w:color w:val="auto"/>
          <w:highlight w:val="none"/>
        </w:rPr>
      </w:r>
      <w:r>
        <w:rPr>
          <w:color w:val="auto"/>
          <w:highlight w:val="none"/>
        </w:rPr>
      </w:r>
      <w:r>
        <w:rPr>
          <w:color w:val="auto"/>
          <w:highlight w:val="none"/>
        </w:rPr>
      </w:r>
    </w:p>
    <w:p>
      <w:pPr>
        <w:pBdr/>
        <w:spacing/>
        <w:ind w:firstLine="566"/>
        <w:rPr>
          <w:color w:val="auto"/>
          <w:highlight w:val="none"/>
        </w:rPr>
      </w:pPr>
      <w:r>
        <w:rPr>
          <w:color w:val="auto"/>
          <w:highlight w:val="none"/>
        </w:rPr>
      </w:r>
      <w:r>
        <w:rPr>
          <w:color w:val="auto"/>
          <w:highlight w:val="none"/>
        </w:rPr>
      </w:r>
      <w:r>
        <w:rPr>
          <w:color w:val="auto"/>
          <w:highlight w:val="none"/>
        </w:rPr>
      </w:r>
    </w:p>
    <w:p>
      <w:pPr>
        <w:pBdr/>
        <w:spacing/>
        <w:ind/>
        <w:jc w:val="right"/>
        <w:rPr>
          <w:b/>
          <w:i/>
          <w:color w:val="auto"/>
          <w:highlight w:val="none"/>
        </w:rPr>
      </w:pPr>
      <w:r>
        <w:rPr>
          <w:color w:val="auto"/>
          <w:highlight w:val="none"/>
        </w:rPr>
      </w:r>
      <w:bookmarkStart w:id="74" w:name="_111kx3o"/>
      <w:r>
        <w:rPr>
          <w:color w:val="auto"/>
          <w:highlight w:val="none"/>
        </w:rPr>
      </w:r>
      <w:bookmarkEnd w:id="74"/>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r>
      <w:r>
        <w:rPr>
          <w:b/>
          <w:i/>
          <w:color w:val="auto"/>
          <w:highlight w:val="none"/>
        </w:rPr>
      </w:r>
      <w:r>
        <w:rPr>
          <w:b/>
          <w:i/>
          <w:color w:val="auto"/>
          <w:highlight w:val="none"/>
        </w:rPr>
      </w:r>
    </w:p>
    <w:p>
      <w:pPr>
        <w:pBdr/>
        <w:spacing/>
        <w:ind/>
        <w:jc w:val="right"/>
        <w:rPr>
          <w:b/>
          <w:i/>
          <w:color w:val="auto"/>
          <w:highlight w:val="none"/>
        </w:rPr>
      </w:pPr>
      <w:r>
        <w:rPr>
          <w:b/>
          <w:i/>
          <w:color w:val="auto"/>
          <w:highlight w:val="none"/>
        </w:rPr>
        <w:t xml:space="preserve">Додаток №3</w:t>
      </w:r>
      <w:r>
        <w:rPr>
          <w:b/>
          <w:i/>
          <w:color w:val="auto"/>
          <w:highlight w:val="none"/>
        </w:rPr>
      </w:r>
      <w:r>
        <w:rPr>
          <w:b/>
          <w:i/>
          <w:color w:val="auto"/>
          <w:highlight w:val="none"/>
        </w:rPr>
      </w:r>
    </w:p>
    <w:p>
      <w:pPr>
        <w:widowControl w:val="false"/>
        <w:pBdr/>
        <w:tabs>
          <w:tab w:val="left" w:leader="none" w:pos="4860"/>
        </w:tabs>
        <w:spacing/>
        <w:ind/>
        <w:jc w:val="right"/>
        <w:rPr>
          <w:b/>
          <w:i/>
          <w:color w:val="auto"/>
          <w:highlight w:val="none"/>
        </w:rPr>
      </w:pPr>
      <w:r>
        <w:rPr>
          <w:b/>
          <w:i/>
          <w:color w:val="auto"/>
          <w:highlight w:val="none"/>
        </w:rPr>
        <w:t xml:space="preserve">до тендерної документації </w:t>
      </w:r>
      <w:r>
        <w:rPr>
          <w:b/>
          <w:i/>
          <w:color w:val="auto"/>
          <w:highlight w:val="none"/>
        </w:rPr>
      </w:r>
      <w:r>
        <w:rPr>
          <w:b/>
          <w:i/>
          <w:color w:val="auto"/>
          <w:highlight w:val="none"/>
        </w:rPr>
      </w:r>
    </w:p>
    <w:p>
      <w:pPr>
        <w:pBdr/>
        <w:spacing/>
        <w:ind/>
        <w:jc w:val="center"/>
        <w:rPr>
          <w:b/>
          <w:smallCaps/>
          <w:color w:val="auto"/>
          <w:highlight w:val="none"/>
        </w:rPr>
      </w:pPr>
      <w:r>
        <w:rPr>
          <w:b/>
          <w:smallCaps/>
          <w:color w:val="auto"/>
          <w:highlight w:val="none"/>
        </w:rPr>
      </w:r>
      <w:r>
        <w:rPr>
          <w:b/>
          <w:smallCaps/>
          <w:color w:val="auto"/>
          <w:highlight w:val="none"/>
        </w:rPr>
      </w:r>
      <w:r>
        <w:rPr>
          <w:b/>
          <w:smallCaps/>
          <w:color w:val="auto"/>
          <w:highlight w:val="none"/>
        </w:rPr>
      </w:r>
    </w:p>
    <w:p>
      <w:pPr>
        <w:pBdr/>
        <w:spacing/>
        <w:ind/>
        <w:jc w:val="center"/>
        <w:rPr>
          <w:b/>
          <w:smallCaps/>
          <w:color w:val="auto"/>
          <w:highlight w:val="none"/>
        </w:rPr>
      </w:pPr>
      <w:r>
        <w:rPr>
          <w:b/>
          <w:smallCaps/>
          <w:color w:val="auto"/>
          <w:highlight w:val="none"/>
        </w:rPr>
        <w:t xml:space="preserve">ІНФОРМАЦІЯ ПРО НЕОБХІДНІ ТЕХНІЧНІ, ЯКІСНІ, КІЛЬКІСНІ ТА ІНШІ ВИМОГИ ДО ПРЕДМЕТА ЗАКУПІВЛІ</w:t>
      </w:r>
      <w:r>
        <w:rPr>
          <w:b/>
          <w:smallCaps/>
          <w:color w:val="auto"/>
          <w:highlight w:val="none"/>
        </w:rPr>
      </w:r>
      <w:r>
        <w:rPr>
          <w:b/>
          <w:smallCaps/>
          <w:color w:val="auto"/>
          <w:highlight w:val="none"/>
        </w:rPr>
      </w:r>
    </w:p>
    <w:p>
      <w:pPr>
        <w:widowControl w:val="false"/>
        <w:pBdr/>
        <w:shd w:val="clear" w:color="auto" w:fill="ffffff"/>
        <w:spacing/>
        <w:ind/>
        <w:jc w:val="center"/>
        <w:rPr>
          <w:b/>
          <w:color w:val="auto"/>
          <w:highlight w:val="none"/>
        </w:rPr>
      </w:pPr>
      <w:r>
        <w:rPr>
          <w:b/>
          <w:color w:val="auto"/>
          <w:highlight w:val="none"/>
        </w:rPr>
        <w:t xml:space="preserve">Виготовлення проектно - кошторисної документації по об’єкту: «</w:t>
      </w:r>
      <w:r>
        <w:rPr>
          <w:b/>
          <w:color w:val="auto"/>
          <w:highlight w:val="none"/>
        </w:rPr>
        <w:t xml:space="preserve">Нове будівництво будівлі </w:t>
      </w:r>
      <w:r>
        <w:rPr>
          <w:b/>
          <w:color w:val="auto"/>
          <w:highlight w:val="none"/>
        </w:rPr>
        <w:t xml:space="preserve">пожежно</w:t>
      </w:r>
      <w:r>
        <w:rPr>
          <w:b/>
          <w:color w:val="auto"/>
          <w:highlight w:val="none"/>
        </w:rPr>
        <w:t xml:space="preserve">-рятувальної частини Подільського району в </w:t>
      </w:r>
      <w:r>
        <w:rPr>
          <w:b/>
          <w:color w:val="auto"/>
          <w:highlight w:val="none"/>
        </w:rPr>
        <w:t xml:space="preserve">м.Київ</w:t>
      </w:r>
      <w:r>
        <w:rPr>
          <w:b/>
          <w:color w:val="auto"/>
          <w:highlight w:val="none"/>
        </w:rPr>
        <w:t xml:space="preserve"> на </w:t>
      </w:r>
      <w:r>
        <w:rPr>
          <w:b/>
          <w:color w:val="auto"/>
          <w:highlight w:val="none"/>
        </w:rPr>
        <w:t xml:space="preserve">вул.Вишгородська</w:t>
      </w:r>
      <w:r>
        <w:rPr>
          <w:b/>
          <w:color w:val="auto"/>
          <w:highlight w:val="none"/>
        </w:rPr>
        <w:t xml:space="preserve">, 21</w:t>
      </w:r>
      <w:r>
        <w:rPr>
          <w:b/>
          <w:color w:val="auto"/>
          <w:highlight w:val="none"/>
        </w:rPr>
        <w:t xml:space="preserve">»</w:t>
      </w:r>
      <w:r>
        <w:rPr>
          <w:b/>
          <w:color w:val="auto"/>
          <w:highlight w:val="none"/>
        </w:rPr>
      </w:r>
      <w:r>
        <w:rPr>
          <w:b/>
          <w:color w:val="auto"/>
          <w:highlight w:val="none"/>
        </w:rPr>
      </w:r>
    </w:p>
    <w:p>
      <w:pPr>
        <w:widowControl w:val="false"/>
        <w:pBdr/>
        <w:shd w:val="clear" w:color="auto" w:fill="ffffff"/>
        <w:spacing/>
        <w:ind/>
        <w:jc w:val="center"/>
        <w:rPr>
          <w:b/>
          <w:color w:val="auto"/>
          <w:highlight w:val="none"/>
        </w:rPr>
      </w:pPr>
      <w:r>
        <w:rPr>
          <w:color w:val="auto"/>
          <w:highlight w:val="none"/>
        </w:rPr>
      </w:r>
      <w:bookmarkStart w:id="75" w:name="_3l18frh"/>
      <w:r>
        <w:rPr>
          <w:color w:val="auto"/>
          <w:highlight w:val="none"/>
        </w:rPr>
      </w:r>
      <w:bookmarkEnd w:id="75"/>
      <w:r>
        <w:rPr>
          <w:b/>
          <w:color w:val="auto"/>
          <w:highlight w:val="none"/>
        </w:rPr>
        <w:t xml:space="preserve">За кодом ДК 021:2015 - 71240000-2 Архітектурні, інженерні та планувальні послуги</w:t>
      </w:r>
      <w:r>
        <w:rPr>
          <w:b/>
          <w:color w:val="auto"/>
          <w:highlight w:val="none"/>
        </w:rPr>
      </w:r>
      <w:r>
        <w:rPr>
          <w:b/>
          <w:color w:val="auto"/>
          <w:highlight w:val="none"/>
        </w:rPr>
      </w:r>
    </w:p>
    <w:p>
      <w:pPr>
        <w:pBdr/>
        <w:spacing/>
        <w:ind/>
        <w:jc w:val="center"/>
        <w:rPr>
          <w:b/>
          <w:color w:val="auto"/>
          <w:highlight w:val="none"/>
        </w:rPr>
      </w:pPr>
      <w:r>
        <w:rPr>
          <w:b/>
          <w:color w:val="auto"/>
          <w:highlight w:val="none"/>
        </w:rPr>
      </w:r>
      <w:r>
        <w:rPr>
          <w:b/>
          <w:color w:val="auto"/>
          <w:highlight w:val="none"/>
        </w:rPr>
      </w:r>
      <w:r>
        <w:rPr>
          <w:b/>
          <w:color w:val="auto"/>
          <w:highlight w:val="none"/>
        </w:rPr>
      </w:r>
    </w:p>
    <w:p>
      <w:pPr>
        <w:pBdr/>
        <w:spacing w:after="160" w:line="259" w:lineRule="auto"/>
        <w:ind w:right="555"/>
        <w:jc w:val="center"/>
        <w:rPr>
          <w:rFonts w:eastAsia="Calibri"/>
          <w:b/>
          <w:color w:val="auto"/>
          <w:highlight w:val="none"/>
        </w:rPr>
      </w:pPr>
      <w:r>
        <w:rPr>
          <w:rFonts w:eastAsia="Calibri"/>
          <w:b/>
          <w:color w:val="auto"/>
          <w:highlight w:val="none"/>
        </w:rPr>
        <w:t xml:space="preserve">ЗАВДАННЯ  НА  ПРОЄКТУВАННЯ</w:t>
      </w:r>
      <w:r>
        <w:rPr>
          <w:rFonts w:eastAsia="Calibri"/>
          <w:b/>
          <w:color w:val="auto"/>
          <w:highlight w:val="none"/>
        </w:rPr>
      </w:r>
      <w:r>
        <w:rPr>
          <w:rFonts w:eastAsia="Calibri"/>
          <w:b/>
          <w:color w:val="auto"/>
          <w:highlight w:val="none"/>
        </w:rPr>
      </w:r>
    </w:p>
    <w:p>
      <w:pPr>
        <w:pBdr/>
        <w:spacing w:after="160" w:line="259" w:lineRule="auto"/>
        <w:ind w:right="-421"/>
        <w:jc w:val="both"/>
        <w:rPr>
          <w:rFonts w:eastAsia="Calibri"/>
          <w:b/>
          <w:color w:val="auto"/>
          <w:highlight w:val="none"/>
        </w:rPr>
      </w:pPr>
      <w:r>
        <w:rPr>
          <w:rFonts w:eastAsia="Calibri"/>
          <w:b/>
          <w:color w:val="auto"/>
          <w:highlight w:val="none"/>
        </w:rPr>
        <w:t xml:space="preserve">на розробку </w:t>
      </w:r>
      <w:r>
        <w:rPr>
          <w:rFonts w:eastAsia="Calibri"/>
          <w:b/>
          <w:color w:val="auto"/>
          <w:highlight w:val="none"/>
        </w:rPr>
        <w:t xml:space="preserve">проєкту</w:t>
      </w:r>
      <w:r>
        <w:rPr>
          <w:rFonts w:eastAsia="Calibri"/>
          <w:b/>
          <w:color w:val="auto"/>
          <w:highlight w:val="none"/>
        </w:rPr>
        <w:t xml:space="preserve">: «</w:t>
      </w:r>
      <w:r>
        <w:rPr>
          <w:rFonts w:eastAsia="Calibri"/>
          <w:b/>
          <w:color w:val="auto"/>
          <w:highlight w:val="none"/>
        </w:rPr>
        <w:t xml:space="preserve">Нове б</w:t>
      </w:r>
      <w:r>
        <w:rPr>
          <w:rFonts w:eastAsia="Calibri"/>
          <w:b/>
          <w:color w:val="auto"/>
          <w:highlight w:val="none"/>
        </w:rPr>
        <w:t xml:space="preserve">удівництво будівлі </w:t>
      </w:r>
      <w:r>
        <w:rPr>
          <w:rFonts w:eastAsia="Calibri"/>
          <w:b/>
          <w:color w:val="auto"/>
          <w:highlight w:val="none"/>
        </w:rPr>
        <w:t xml:space="preserve">пожежно</w:t>
      </w:r>
      <w:r>
        <w:rPr>
          <w:rFonts w:eastAsia="Calibri"/>
          <w:b/>
          <w:color w:val="auto"/>
          <w:highlight w:val="none"/>
        </w:rPr>
        <w:t xml:space="preserve">-рятувальної частини</w:t>
      </w:r>
      <w:r>
        <w:rPr>
          <w:rFonts w:eastAsia="Calibri"/>
          <w:b/>
          <w:color w:val="auto"/>
          <w:highlight w:val="none"/>
        </w:rPr>
        <w:t xml:space="preserve"> Подільського району на вул. Вишгородська,  21»</w:t>
      </w:r>
      <w:r>
        <w:rPr>
          <w:rFonts w:eastAsia="Calibri"/>
          <w:b/>
          <w:color w:val="auto"/>
          <w:highlight w:val="none"/>
        </w:rPr>
      </w:r>
      <w:r>
        <w:rPr>
          <w:rFonts w:eastAsia="Calibri"/>
          <w:b/>
          <w:color w:val="auto"/>
          <w:highlight w:val="none"/>
        </w:rPr>
      </w:r>
    </w:p>
    <w:tbl>
      <w:tblPr>
        <w:tblW w:w="100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09"/>
        <w:gridCol w:w="3100"/>
        <w:gridCol w:w="6238"/>
      </w:tblGrid>
      <w:tr>
        <w:trPr>
          <w:trHeight w:val="502"/>
          <w:tblHeader/>
        </w:trPr>
        <w:tc>
          <w:tcPr>
            <w:tcBorders/>
            <w:tcW w:w="709" w:type="dxa"/>
            <w:vAlign w:val="center"/>
            <w:textDirection w:val="lrTb"/>
            <w:noWrap w:val="false"/>
          </w:tcPr>
          <w:p>
            <w:pPr>
              <w:pBdr/>
              <w:tabs>
                <w:tab w:val="left" w:leader="none" w:pos="600"/>
              </w:tabs>
              <w:spacing/>
              <w:ind w:right="-108" w:left="-120"/>
              <w:jc w:val="center"/>
              <w:rPr>
                <w:rFonts w:eastAsia="Calibri"/>
                <w:b/>
                <w:i/>
                <w:color w:val="auto"/>
                <w:highlight w:val="none"/>
              </w:rPr>
            </w:pPr>
            <w:r>
              <w:rPr>
                <w:rFonts w:eastAsia="Calibri"/>
                <w:b/>
                <w:i/>
                <w:color w:val="auto"/>
                <w:highlight w:val="none"/>
              </w:rPr>
              <w:t xml:space="preserve">№ п/п</w:t>
            </w:r>
            <w:r>
              <w:rPr>
                <w:rFonts w:eastAsia="Calibri"/>
                <w:b/>
                <w:i/>
                <w:color w:val="auto"/>
                <w:highlight w:val="none"/>
              </w:rPr>
            </w:r>
            <w:r>
              <w:rPr>
                <w:rFonts w:eastAsia="Calibri"/>
                <w:b/>
                <w:i/>
                <w:color w:val="auto"/>
                <w:highlight w:val="none"/>
              </w:rPr>
            </w:r>
          </w:p>
        </w:tc>
        <w:tc>
          <w:tcPr>
            <w:tcBorders/>
            <w:tcW w:w="3100" w:type="dxa"/>
            <w:vAlign w:val="center"/>
            <w:textDirection w:val="lrTb"/>
            <w:noWrap w:val="false"/>
          </w:tcPr>
          <w:p>
            <w:pPr>
              <w:pBdr/>
              <w:tabs>
                <w:tab w:val="left" w:leader="none" w:pos="600"/>
              </w:tabs>
              <w:spacing/>
              <w:ind w:right="-126" w:left="-120"/>
              <w:jc w:val="center"/>
              <w:rPr>
                <w:rFonts w:eastAsia="Calibri"/>
                <w:i/>
                <w:color w:val="auto"/>
                <w:highlight w:val="none"/>
              </w:rPr>
            </w:pPr>
            <w:r>
              <w:rPr>
                <w:rFonts w:eastAsia="Calibri"/>
                <w:b/>
                <w:i/>
                <w:color w:val="auto"/>
                <w:highlight w:val="none"/>
              </w:rPr>
              <w:t xml:space="preserve">Перелік основних даних та вимог</w:t>
            </w:r>
            <w:r>
              <w:rPr>
                <w:rFonts w:eastAsia="Calibri"/>
                <w:i/>
                <w:color w:val="auto"/>
                <w:highlight w:val="none"/>
              </w:rPr>
            </w:r>
            <w:r>
              <w:rPr>
                <w:rFonts w:eastAsia="Calibri"/>
                <w:i/>
                <w:color w:val="auto"/>
                <w:highlight w:val="none"/>
              </w:rPr>
            </w:r>
          </w:p>
        </w:tc>
        <w:tc>
          <w:tcPr>
            <w:tcBorders/>
            <w:tcW w:w="6238" w:type="dxa"/>
            <w:vAlign w:val="center"/>
            <w:textDirection w:val="lrTb"/>
            <w:noWrap w:val="false"/>
          </w:tcPr>
          <w:p>
            <w:pPr>
              <w:pBdr/>
              <w:tabs>
                <w:tab w:val="left" w:leader="none" w:pos="600"/>
              </w:tabs>
              <w:spacing/>
              <w:ind w:left="-120"/>
              <w:jc w:val="center"/>
              <w:rPr>
                <w:rFonts w:eastAsia="Calibri"/>
                <w:b/>
                <w:i/>
                <w:color w:val="auto"/>
                <w:highlight w:val="none"/>
              </w:rPr>
            </w:pPr>
            <w:r>
              <w:rPr>
                <w:rFonts w:eastAsia="Calibri"/>
                <w:b/>
                <w:i/>
                <w:color w:val="auto"/>
                <w:highlight w:val="none"/>
              </w:rPr>
              <w:t xml:space="preserve">Зміст даних та вимог</w:t>
            </w:r>
            <w:r>
              <w:rPr>
                <w:rFonts w:eastAsia="Calibri"/>
                <w:b/>
                <w:i/>
                <w:color w:val="auto"/>
                <w:highlight w:val="none"/>
              </w:rPr>
            </w:r>
            <w:r>
              <w:rPr>
                <w:rFonts w:eastAsia="Calibri"/>
                <w:b/>
                <w:i/>
                <w:color w:val="auto"/>
                <w:highlight w:val="none"/>
              </w:rPr>
            </w:r>
          </w:p>
        </w:tc>
      </w:tr>
      <w:tr>
        <w:trPr>
          <w:trHeight w:val="41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Назва та місцезнаходження об’єкта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Нове будівництво будівлі </w:t>
            </w:r>
            <w:r>
              <w:rPr>
                <w:rFonts w:eastAsia="Calibri"/>
                <w:color w:val="auto"/>
                <w:highlight w:val="none"/>
              </w:rPr>
              <w:t xml:space="preserve">пожежно</w:t>
            </w:r>
            <w:r>
              <w:rPr>
                <w:rFonts w:eastAsia="Calibri"/>
                <w:color w:val="auto"/>
                <w:highlight w:val="none"/>
              </w:rPr>
              <w:t xml:space="preserve">-рятувальної частини Подільського району в </w:t>
            </w:r>
            <w:r>
              <w:rPr>
                <w:rFonts w:eastAsia="Calibri"/>
                <w:color w:val="auto"/>
                <w:highlight w:val="none"/>
              </w:rPr>
              <w:t xml:space="preserve">м.Київ</w:t>
            </w:r>
            <w:r>
              <w:rPr>
                <w:rFonts w:eastAsia="Calibri"/>
                <w:color w:val="auto"/>
                <w:highlight w:val="none"/>
              </w:rPr>
              <w:t xml:space="preserve"> на </w:t>
            </w:r>
            <w:r>
              <w:rPr>
                <w:rFonts w:eastAsia="Calibri"/>
                <w:color w:val="auto"/>
                <w:highlight w:val="none"/>
              </w:rPr>
              <w:t xml:space="preserve">вул.Вишгородська</w:t>
            </w:r>
            <w:r>
              <w:rPr>
                <w:rFonts w:eastAsia="Calibri"/>
                <w:color w:val="auto"/>
                <w:highlight w:val="none"/>
              </w:rPr>
              <w:t xml:space="preserve">, 21</w:t>
            </w:r>
            <w:r>
              <w:rPr>
                <w:rFonts w:eastAsia="Calibri"/>
                <w:color w:val="auto"/>
                <w:highlight w:val="none"/>
              </w:rPr>
            </w:r>
            <w:r>
              <w:rPr>
                <w:rFonts w:eastAsia="Calibri"/>
                <w:color w:val="auto"/>
                <w:highlight w:val="none"/>
              </w:rPr>
            </w:r>
          </w:p>
        </w:tc>
      </w:tr>
      <w:tr>
        <w:trPr>
          <w:trHeight w:val="41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Підстави для проектування</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Договір на виготовлення проектно-кошторисної документації.</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Витяги з речових прав на нерухоме майно на земельну ділянку та на будівлі.</w:t>
            </w:r>
            <w:r>
              <w:rPr>
                <w:rFonts w:eastAsia="Calibri"/>
                <w:color w:val="auto"/>
                <w:highlight w:val="none"/>
              </w:rPr>
            </w:r>
            <w:r>
              <w:rPr>
                <w:rFonts w:eastAsia="Calibri"/>
                <w:color w:val="auto"/>
                <w:highlight w:val="none"/>
              </w:rPr>
            </w:r>
          </w:p>
        </w:tc>
      </w:tr>
      <w:tr>
        <w:trPr>
          <w:trHeight w:val="576"/>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Вид будівництва </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Нове будівництво</w:t>
            </w:r>
            <w:r>
              <w:rPr>
                <w:rFonts w:eastAsia="Calibri"/>
                <w:color w:val="auto"/>
                <w:highlight w:val="none"/>
              </w:rPr>
            </w:r>
            <w:r>
              <w:rPr>
                <w:rFonts w:eastAsia="Calibri"/>
                <w:color w:val="auto"/>
                <w:highlight w:val="none"/>
              </w:rPr>
            </w:r>
          </w:p>
        </w:tc>
      </w:tr>
      <w:tr>
        <w:trPr>
          <w:trHeight w:val="54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інвестора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Інші сторони відсутні.</w:t>
            </w:r>
            <w:r>
              <w:rPr>
                <w:rFonts w:eastAsia="Calibri"/>
                <w:color w:val="auto"/>
                <w:highlight w:val="none"/>
              </w:rPr>
            </w:r>
            <w:r>
              <w:rPr>
                <w:rFonts w:eastAsia="Calibri"/>
                <w:color w:val="auto"/>
                <w:highlight w:val="none"/>
              </w:rPr>
            </w:r>
          </w:p>
        </w:tc>
      </w:tr>
      <w:tr>
        <w:trPr>
          <w:trHeight w:val="54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Дані про замовника</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Департамент муніципальної безпеки виконавчого органу Київської міської ради (Київської міської державної адміністрації)</w:t>
            </w:r>
            <w:r>
              <w:rPr>
                <w:rFonts w:eastAsia="Calibri"/>
                <w:color w:val="auto"/>
                <w:highlight w:val="none"/>
              </w:rPr>
            </w:r>
            <w:r>
              <w:rPr>
                <w:rFonts w:eastAsia="Calibri"/>
                <w:color w:val="auto"/>
                <w:highlight w:val="none"/>
              </w:rPr>
            </w:r>
          </w:p>
        </w:tc>
      </w:tr>
      <w:tr>
        <w:trPr>
          <w:trHeight w:val="527"/>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Джерело фінансування </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w:t>
            </w:r>
            <w:r>
              <w:rPr>
                <w:rFonts w:eastAsia="Calibri"/>
                <w:color w:val="auto"/>
                <w:highlight w:val="none"/>
              </w:rPr>
              <w:t xml:space="preserve">юджетні кошти </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Необхідність розрахунків ефективності інвестицій на основі варіантного проектування</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генерального проектувальника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Визначити з</w:t>
            </w:r>
            <w:r>
              <w:rPr>
                <w:rFonts w:eastAsia="Calibri"/>
                <w:color w:val="auto"/>
                <w:highlight w:val="none"/>
              </w:rPr>
              <w:t xml:space="preserve">а результатами закупівлі.</w:t>
            </w:r>
            <w:r>
              <w:rPr>
                <w:rFonts w:eastAsia="Calibri"/>
                <w:color w:val="auto"/>
                <w:highlight w:val="none"/>
              </w:rPr>
            </w:r>
            <w:r>
              <w:rPr>
                <w:rFonts w:eastAsia="Calibri"/>
                <w:color w:val="auto"/>
                <w:highlight w:val="none"/>
              </w:rPr>
            </w:r>
          </w:p>
        </w:tc>
      </w:tr>
      <w:tr>
        <w:trPr>
          <w:trHeight w:val="548"/>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b/>
                <w:color w:val="auto"/>
                <w:highlight w:val="none"/>
              </w:rPr>
            </w:pPr>
            <w:r>
              <w:rPr>
                <w:rFonts w:eastAsia="Calibri"/>
                <w:color w:val="auto"/>
                <w:highlight w:val="none"/>
              </w:rPr>
              <w:t xml:space="preserve">Стадійність проектування </w:t>
            </w:r>
            <w:r>
              <w:rPr>
                <w:rFonts w:eastAsia="Calibri"/>
                <w:color w:val="auto"/>
                <w:highlight w:val="none"/>
              </w:rPr>
              <w:t xml:space="preserve">з визначенням затверджуваної стадії</w:t>
            </w:r>
            <w:r>
              <w:rPr>
                <w:rFonts w:eastAsia="Calibri"/>
                <w:b/>
                <w:color w:val="auto"/>
                <w:highlight w:val="none"/>
              </w:rPr>
            </w:r>
            <w:r>
              <w:rPr>
                <w:rFonts w:eastAsia="Calibri"/>
                <w:b/>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 </w:t>
            </w:r>
            <w:r>
              <w:rPr>
                <w:rFonts w:eastAsia="Calibri"/>
                <w:color w:val="auto"/>
                <w:highlight w:val="none"/>
              </w:rPr>
              <w:t xml:space="preserve">дві</w:t>
            </w:r>
            <w:r>
              <w:rPr>
                <w:rFonts w:eastAsia="Calibri"/>
                <w:color w:val="auto"/>
                <w:highlight w:val="none"/>
              </w:rPr>
              <w:t xml:space="preserve"> стадії:</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 (</w:t>
            </w:r>
            <w:r>
              <w:rPr>
                <w:rFonts w:eastAsia="Calibri"/>
                <w:color w:val="auto"/>
                <w:highlight w:val="none"/>
              </w:rPr>
              <w:t xml:space="preserve">Проєкт</w:t>
            </w:r>
            <w:r>
              <w:rPr>
                <w:rFonts w:eastAsia="Calibri"/>
                <w:color w:val="auto"/>
                <w:highlight w:val="none"/>
              </w:rPr>
              <w:t xml:space="preserve">) – </w:t>
            </w:r>
            <w:r>
              <w:rPr>
                <w:rFonts w:eastAsia="Calibri"/>
                <w:color w:val="auto"/>
                <w:highlight w:val="none"/>
              </w:rPr>
              <w:t xml:space="preserve">затверджувальна</w:t>
            </w:r>
            <w:r>
              <w:rPr>
                <w:rFonts w:eastAsia="Calibri"/>
                <w:color w:val="auto"/>
                <w:highlight w:val="none"/>
              </w:rPr>
              <w:t xml:space="preserve"> стадія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 (робоча документація)</w:t>
            </w:r>
            <w:r>
              <w:rPr>
                <w:rFonts w:eastAsia="Calibri"/>
                <w:color w:val="auto"/>
                <w:highlight w:val="none"/>
              </w:rPr>
            </w:r>
            <w:r>
              <w:rPr>
                <w:rFonts w:eastAsia="Calibri"/>
                <w:color w:val="auto"/>
                <w:highlight w:val="none"/>
              </w:rPr>
            </w:r>
          </w:p>
        </w:tc>
      </w:tr>
      <w:tr>
        <w:trPr>
          <w:trHeight w:val="682"/>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і</w:t>
            </w:r>
            <w:r>
              <w:rPr>
                <w:rFonts w:eastAsia="Calibri"/>
                <w:color w:val="auto"/>
                <w:highlight w:val="none"/>
              </w:rPr>
              <w:t xml:space="preserve">нженерні вишукування </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Виконати в складі проекту: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w:t>
            </w:r>
            <w:r>
              <w:rPr>
                <w:rFonts w:eastAsia="Calibri"/>
                <w:color w:val="auto"/>
                <w:highlight w:val="none"/>
              </w:rPr>
              <w:t xml:space="preserve">геодизичні</w:t>
            </w:r>
            <w:r>
              <w:rPr>
                <w:rFonts w:eastAsia="Calibri"/>
                <w:color w:val="auto"/>
                <w:highlight w:val="none"/>
              </w:rPr>
              <w:t xml:space="preserve"> вишукування М1:500;</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інженерно-гео</w:t>
            </w:r>
            <w:r>
              <w:rPr>
                <w:rFonts w:eastAsia="Calibri"/>
                <w:color w:val="auto"/>
                <w:highlight w:val="none"/>
              </w:rPr>
              <w:t xml:space="preserve">логічні</w:t>
            </w:r>
            <w:r>
              <w:rPr>
                <w:rFonts w:eastAsia="Calibri"/>
                <w:color w:val="auto"/>
                <w:highlight w:val="none"/>
              </w:rPr>
              <w:t xml:space="preserve"> </w:t>
            </w:r>
            <w:r>
              <w:rPr>
                <w:rFonts w:eastAsia="Calibri"/>
                <w:color w:val="auto"/>
                <w:highlight w:val="none"/>
              </w:rPr>
              <w:t xml:space="preserve">вишукування;</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обстежувальні</w:t>
            </w:r>
            <w:r>
              <w:rPr>
                <w:rFonts w:eastAsia="Calibri"/>
                <w:color w:val="auto"/>
                <w:highlight w:val="none"/>
              </w:rPr>
              <w:t xml:space="preserve"> роботи для звільнення майданчику забудови від існуючих споруд.</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інженерно-геодезичні вишукування М1:2000 виконати після отримання всіх необхідних технічних умов на проектування.</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особливі умови будівництва (</w:t>
            </w:r>
            <w:r>
              <w:rPr>
                <w:rFonts w:eastAsia="Calibri"/>
                <w:color w:val="auto"/>
                <w:highlight w:val="none"/>
              </w:rPr>
              <w:t xml:space="preserve">сейсмічність, просадні ґрунти, </w:t>
            </w:r>
            <w:r>
              <w:rPr>
                <w:rFonts w:eastAsia="Calibri"/>
                <w:color w:val="auto"/>
                <w:highlight w:val="none"/>
              </w:rPr>
              <w:t xml:space="preserve">підроблювані</w:t>
            </w:r>
            <w:r>
              <w:rPr>
                <w:rFonts w:eastAsia="Calibri"/>
                <w:color w:val="auto"/>
                <w:highlight w:val="none"/>
              </w:rPr>
              <w:t xml:space="preserve"> і </w:t>
            </w:r>
            <w:r>
              <w:rPr>
                <w:rFonts w:eastAsia="Calibri"/>
                <w:color w:val="auto"/>
                <w:highlight w:val="none"/>
              </w:rPr>
              <w:t xml:space="preserve">підтоплювані</w:t>
            </w:r>
            <w:r>
              <w:rPr>
                <w:rFonts w:eastAsia="Calibri"/>
                <w:color w:val="auto"/>
                <w:highlight w:val="none"/>
              </w:rPr>
              <w:t xml:space="preserve"> території тощо)</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підставі звіту ІГВ.</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Основні архітектурно-планувальні вимоги і характеристики об'єкта</w:t>
            </w:r>
            <w:r>
              <w:rPr>
                <w:rFonts w:eastAsia="Calibri"/>
                <w:color w:val="auto"/>
                <w:highlight w:val="none"/>
              </w:rPr>
              <w:t xml:space="preserve">, у тому числі функціональні групи приміщень, назви та площі приміщень</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земельній ділянці, загальною площею</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0.4739 </w:t>
            </w:r>
            <w:r>
              <w:rPr>
                <w:rFonts w:eastAsia="Calibri"/>
                <w:color w:val="auto"/>
                <w:highlight w:val="none"/>
              </w:rPr>
              <w:t xml:space="preserve">га, планується будівництво будівлі  аварійно-рятувальної станції з  адміністративними приміщеннями, КПП при в’їзді на ділянку.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Черговість будівництва, необхідність виділення пускових комплексів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Одна</w:t>
            </w:r>
            <w:r>
              <w:rPr>
                <w:rFonts w:eastAsia="Calibri"/>
                <w:color w:val="auto"/>
                <w:highlight w:val="none"/>
              </w:rPr>
              <w:t xml:space="preserve"> черга, один пусковий комплекс.</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Клас наслідків (відповідальності) та</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розрахунковий </w:t>
            </w:r>
            <w:r>
              <w:rPr>
                <w:rFonts w:eastAsia="Calibri"/>
                <w:color w:val="auto"/>
                <w:highlight w:val="none"/>
              </w:rPr>
              <w:t xml:space="preserve">строк експлуатації</w:t>
            </w:r>
            <w:r>
              <w:rPr>
                <w:rFonts w:eastAsia="Calibri"/>
                <w:color w:val="auto"/>
                <w:highlight w:val="none"/>
              </w:rPr>
              <w:t xml:space="preserve"> об’єкта, основних конструктивних і технологічних рішень</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СС3</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100 років</w:t>
            </w:r>
            <w:r>
              <w:rPr>
                <w:rFonts w:eastAsia="Calibri"/>
                <w:color w:val="auto"/>
                <w:highlight w:val="none"/>
              </w:rPr>
            </w:r>
            <w:r>
              <w:rPr>
                <w:rFonts w:eastAsia="Calibri"/>
                <w:color w:val="auto"/>
                <w:highlight w:val="none"/>
              </w:rPr>
            </w:r>
          </w:p>
        </w:tc>
      </w:tr>
      <w:tr>
        <w:trPr>
          <w:trHeight w:val="810"/>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firstLine="59"/>
              <w:rPr>
                <w:rFonts w:eastAsia="Calibri"/>
                <w:color w:val="auto"/>
                <w:highlight w:val="none"/>
              </w:rPr>
            </w:pPr>
            <w:r>
              <w:rPr>
                <w:rFonts w:eastAsia="Calibri"/>
                <w:color w:val="auto"/>
                <w:highlight w:val="none"/>
              </w:rPr>
              <w:t xml:space="preserve">Вказівки про необхідність:</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розроблення </w:t>
            </w:r>
            <w:r>
              <w:rPr>
                <w:rFonts w:eastAsia="Calibri"/>
                <w:color w:val="auto"/>
                <w:highlight w:val="none"/>
              </w:rPr>
              <w:t xml:space="preserve"> окремих технічних завдань та </w:t>
            </w:r>
            <w:r>
              <w:rPr>
                <w:rFonts w:eastAsia="Calibri"/>
                <w:color w:val="auto"/>
                <w:highlight w:val="none"/>
              </w:rPr>
              <w:t xml:space="preserve">індивідуальних технічних вимог;</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розроблення окремих проектних рішень у декількох варіантах і на конкурсних засадах</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попередніх погоджень проектних рішень;</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виконання демонстраційних матеріалів, макетів, креслень інтер'єрів, їх склад та форма </w:t>
            </w:r>
            <w:r>
              <w:rPr>
                <w:rFonts w:eastAsia="Calibri"/>
                <w:color w:val="auto"/>
                <w:highlight w:val="none"/>
              </w:rPr>
              <w:t xml:space="preserve"> на основі цифрової тривимірної інформаційної моделі проектування об’єкта 3</w:t>
            </w:r>
            <w:r>
              <w:rPr>
                <w:rFonts w:eastAsia="Calibri"/>
                <w:color w:val="auto"/>
                <w:highlight w:val="none"/>
                <w:lang w:val="en-US"/>
              </w:rPr>
              <w:t xml:space="preserve">D</w:t>
            </w:r>
            <w:r>
              <w:rPr>
                <w:rFonts w:eastAsia="Calibri"/>
                <w:color w:val="auto"/>
                <w:highlight w:val="none"/>
              </w:rPr>
              <w:t xml:space="preserve"> (</w:t>
            </w:r>
            <w:r>
              <w:rPr>
                <w:rFonts w:eastAsia="Calibri"/>
                <w:color w:val="auto"/>
                <w:highlight w:val="none"/>
              </w:rPr>
              <w:t xml:space="preserve">за необхідності)</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виконання науково-дослідних та дослідно-експериментальних робіт у процесі проектування і будівництва, виконання науково-технічного супроводу</w:t>
            </w:r>
            <w:r>
              <w:rPr>
                <w:rFonts w:eastAsia="Calibri"/>
                <w:color w:val="auto"/>
                <w:highlight w:val="none"/>
              </w:rPr>
              <w:t xml:space="preserve"> з урахуванням впровадження будівельного інформаційного моделювання (за необхідності)</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технічного захисту інформації</w:t>
            </w:r>
            <w:r>
              <w:rPr>
                <w:rFonts w:eastAsia="Calibri"/>
                <w:color w:val="auto"/>
                <w:highlight w:val="none"/>
              </w:rPr>
              <w:t xml:space="preserve">;</w:t>
            </w:r>
            <w:r>
              <w:rPr>
                <w:rFonts w:eastAsia="Calibri"/>
                <w:color w:val="auto"/>
                <w:highlight w:val="none"/>
              </w:rPr>
            </w:r>
            <w:r>
              <w:rPr>
                <w:rFonts w:eastAsia="Calibri"/>
                <w:color w:val="auto"/>
                <w:highlight w:val="none"/>
              </w:rPr>
            </w:r>
          </w:p>
          <w:p>
            <w:pPr>
              <w:numPr>
                <w:ilvl w:val="0"/>
                <w:numId w:val="8"/>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firstLine="59" w:left="0"/>
              <w:rPr>
                <w:rFonts w:eastAsia="Calibri"/>
                <w:color w:val="auto"/>
                <w:highlight w:val="none"/>
              </w:rPr>
            </w:pPr>
            <w:r>
              <w:rPr>
                <w:rFonts w:eastAsia="Calibri"/>
                <w:color w:val="auto"/>
                <w:highlight w:val="none"/>
              </w:rPr>
              <w:t xml:space="preserve">опису процедур обміну інформацією між учасниками проектування </w:t>
            </w:r>
            <w:r>
              <w:rPr>
                <w:rFonts w:eastAsia="Calibri"/>
                <w:color w:val="auto"/>
                <w:highlight w:val="none"/>
              </w:rPr>
              <w:t xml:space="preserve">та будівництва, технології її створення; складу та змісту вимог щодо інформаційних моделей проекту та правил інформаційного моделювання;</w:t>
            </w:r>
            <w:r>
              <w:rPr>
                <w:rFonts w:eastAsia="Calibri"/>
                <w:color w:val="auto"/>
                <w:highlight w:val="none"/>
              </w:rPr>
            </w:r>
            <w:r>
              <w:rPr>
                <w:rFonts w:eastAsia="Calibri"/>
                <w:color w:val="auto"/>
                <w:highlight w:val="none"/>
              </w:rPr>
            </w:r>
          </w:p>
        </w:tc>
        <w:tc>
          <w:tcPr>
            <w:tcBorders/>
            <w:tcW w:w="6238" w:type="dxa"/>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погодити проектні рішення з замовником на етапі розробки стадії П</w:t>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вимагається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не передбачати</w:t>
            </w:r>
            <w:r>
              <w:rPr>
                <w:rFonts w:eastAsia="Calibri"/>
                <w:color w:val="auto"/>
                <w:highlight w:val="none"/>
              </w:rPr>
            </w:r>
            <w:r>
              <w:rPr>
                <w:rFonts w:eastAsia="Calibri"/>
                <w:color w:val="auto"/>
                <w:highlight w:val="none"/>
              </w:rPr>
            </w:r>
          </w:p>
          <w:p>
            <w:pPr>
              <w:pStyle w:val="906"/>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p>
            <w:pPr>
              <w:pStyle w:val="906"/>
              <w:numPr>
                <w:ilvl w:val="0"/>
                <w:numId w:val="9"/>
              </w:num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t xml:space="preserve">обмін по електронній пошті та шляхом офіційного листування</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tabs>
                <w:tab w:val="left" w:leader="none" w:pos="342"/>
              </w:tabs>
              <w:spacing/>
              <w:ind/>
              <w:rPr>
                <w:rFonts w:eastAsia="Calibri"/>
                <w:color w:val="auto"/>
                <w:highlight w:val="none"/>
              </w:rPr>
            </w:pPr>
            <w:r>
              <w:rPr>
                <w:rFonts w:eastAsia="Calibri"/>
                <w:color w:val="auto"/>
                <w:highlight w:val="none"/>
              </w:rPr>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Потужність та характеристика об'єкта будівництва</w:t>
            </w:r>
            <w:r>
              <w:rPr>
                <w:rFonts w:eastAsia="Calibri"/>
                <w:color w:val="auto"/>
                <w:highlight w:val="none"/>
              </w:rPr>
              <w:t xml:space="preserve">, виробнича програма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Запроектувати на ділянці будівлю </w:t>
            </w:r>
            <w:r>
              <w:rPr>
                <w:rFonts w:eastAsia="Calibri"/>
                <w:color w:val="auto"/>
                <w:highlight w:val="none"/>
              </w:rPr>
              <w:t xml:space="preserve">пожежно</w:t>
            </w:r>
            <w:r>
              <w:rPr>
                <w:rFonts w:eastAsia="Calibri"/>
                <w:color w:val="auto"/>
                <w:highlight w:val="none"/>
              </w:rPr>
              <w:t xml:space="preserve">-рятувальної частини. Орієнтовна загальна площа приміщень </w:t>
            </w:r>
            <w:r>
              <w:rPr>
                <w:rFonts w:eastAsia="Calibri"/>
                <w:color w:val="auto"/>
                <w:highlight w:val="none"/>
              </w:rPr>
              <w:t xml:space="preserve">пожежно</w:t>
            </w:r>
            <w:r>
              <w:rPr>
                <w:rFonts w:eastAsia="Calibri"/>
                <w:color w:val="auto"/>
                <w:highlight w:val="none"/>
              </w:rPr>
              <w:t xml:space="preserve"> – рятувальної частини – 2600 м2.</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Поверховість – 4 поверхи надземних та один підземний.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Висоту поверхів </w:t>
            </w:r>
            <w:r>
              <w:rPr>
                <w:rFonts w:eastAsia="Calibri"/>
                <w:color w:val="auto"/>
                <w:highlight w:val="none"/>
              </w:rPr>
              <w:t xml:space="preserve">пожежно</w:t>
            </w:r>
            <w:r>
              <w:rPr>
                <w:rFonts w:eastAsia="Calibri"/>
                <w:color w:val="auto"/>
                <w:highlight w:val="none"/>
              </w:rPr>
              <w:t xml:space="preserve">-рятувальної частини прийняти: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висота приміщень 1-го поверху (від чистової підлоги до низу стелі) прийняти  3,0 м. (в приміщенні де розміщуються пожежні автомобілі не менше 4,5 метри до виступаючих частин стелі);</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2-го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3-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3-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висоту приміщень 4- го поверху (від чистової підлоги до низу стелі) прийняти  3,0 м.</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Кількість працюючих в одну (найбільшу) зміну  - 30 осіб. З них – черговий підрозділ </w:t>
            </w:r>
            <w:r>
              <w:rPr>
                <w:rFonts w:eastAsia="Calibri"/>
                <w:color w:val="auto"/>
                <w:highlight w:val="none"/>
              </w:rPr>
              <w:t xml:space="preserve">пожежно</w:t>
            </w:r>
            <w:r>
              <w:rPr>
                <w:rFonts w:eastAsia="Calibri"/>
                <w:color w:val="auto"/>
                <w:highlight w:val="none"/>
              </w:rPr>
              <w:t xml:space="preserve">-рятувальної служби – 12 осіб (в 1 зміну) та 28 осіб – персонал </w:t>
            </w:r>
            <w:r>
              <w:rPr>
                <w:rFonts w:eastAsia="Calibri"/>
                <w:color w:val="auto"/>
                <w:highlight w:val="none"/>
              </w:rPr>
              <w:t xml:space="preserve">а</w:t>
            </w:r>
            <w:r>
              <w:rPr>
                <w:rFonts w:eastAsia="Calibri"/>
                <w:color w:val="auto"/>
                <w:highlight w:val="none"/>
              </w:rPr>
              <w:t xml:space="preserve">дміністративних та технічних служб.</w:t>
            </w:r>
            <w:r>
              <w:rPr>
                <w:rFonts w:eastAsia="Calibri"/>
                <w:color w:val="auto"/>
                <w:highlight w:val="none"/>
              </w:rPr>
              <w:t xml:space="preserve">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Режим роботи – цілодобовий.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На першому поверсі </w:t>
            </w:r>
            <w:r>
              <w:rPr>
                <w:rFonts w:eastAsia="Calibri"/>
                <w:color w:val="auto"/>
                <w:highlight w:val="none"/>
              </w:rPr>
              <w:t xml:space="preserve">пожежно</w:t>
            </w:r>
            <w:r>
              <w:rPr>
                <w:rFonts w:eastAsia="Calibri"/>
                <w:color w:val="auto"/>
                <w:highlight w:val="none"/>
              </w:rPr>
              <w:t xml:space="preserve">-рятувальної частини запроектувати стоянку-гараж для </w:t>
            </w:r>
            <w:r>
              <w:rPr>
                <w:rFonts w:eastAsia="Calibri"/>
                <w:color w:val="auto"/>
                <w:highlight w:val="none"/>
              </w:rPr>
              <w:t xml:space="preserve">пожежно</w:t>
            </w:r>
            <w:r>
              <w:rPr>
                <w:rFonts w:eastAsia="Calibri"/>
                <w:color w:val="auto"/>
                <w:highlight w:val="none"/>
              </w:rPr>
              <w:t xml:space="preserve">-рятувальної та іншої спецтехніки площею не менше 210 </w:t>
            </w:r>
            <w:r>
              <w:rPr>
                <w:rFonts w:eastAsia="Calibri"/>
                <w:color w:val="auto"/>
                <w:highlight w:val="none"/>
              </w:rPr>
              <w:t xml:space="preserve">кв.м</w:t>
            </w:r>
            <w:r>
              <w:rPr>
                <w:rFonts w:eastAsia="Calibri"/>
                <w:color w:val="auto"/>
                <w:highlight w:val="none"/>
              </w:rPr>
              <w:t xml:space="preserve">. (кількість аварійно-рятувальної та іншої спец. техніки прийняти 4 од.) </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Проектом передбачити влаштування КПП при в’їзді на ділянку.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w:t>
            </w:r>
            <w:r>
              <w:rPr>
                <w:rFonts w:eastAsia="Calibri"/>
                <w:color w:val="auto"/>
                <w:highlight w:val="none"/>
              </w:rPr>
              <w:t xml:space="preserve">роектом передбачити: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  </w:t>
            </w:r>
            <w:r>
              <w:rPr>
                <w:rFonts w:eastAsia="Calibri"/>
                <w:color w:val="auto"/>
                <w:highlight w:val="none"/>
                <w:u w:val="single"/>
              </w:rPr>
              <w:t xml:space="preserve">Фундаменти будівлі</w:t>
            </w:r>
            <w:r>
              <w:rPr>
                <w:rFonts w:eastAsia="Calibri"/>
                <w:color w:val="auto"/>
                <w:highlight w:val="none"/>
              </w:rPr>
              <w:t xml:space="preserve"> – визначити проектом згідно з інженерно-геологічними </w:t>
            </w:r>
            <w:r>
              <w:rPr>
                <w:rFonts w:eastAsia="Calibri"/>
                <w:color w:val="auto"/>
                <w:highlight w:val="none"/>
              </w:rPr>
              <w:t xml:space="preserve">вишукуванням</w:t>
            </w:r>
            <w:r>
              <w:rPr>
                <w:rFonts w:eastAsia="Calibri"/>
                <w:color w:val="auto"/>
                <w:highlight w:val="none"/>
              </w:rPr>
              <w:t xml:space="preserve">и</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color w:val="auto"/>
                <w:highlight w:val="none"/>
                <w:u w:val="single"/>
              </w:rPr>
              <w:t xml:space="preserve">- Несучі констр</w:t>
            </w:r>
            <w:r>
              <w:rPr>
                <w:rFonts w:eastAsia="Calibri"/>
                <w:u w:val="single"/>
              </w:rPr>
              <w:t xml:space="preserve">укції</w:t>
            </w:r>
            <w:r>
              <w:rPr>
                <w:rFonts w:eastAsia="Calibri"/>
              </w:rPr>
              <w:t xml:space="preserve"> – монолітний залізобетонний каркас. При проектуванн</w:t>
            </w:r>
            <w:r>
              <w:rPr>
                <w:rFonts w:eastAsia="Calibri"/>
              </w:rPr>
              <w:t xml:space="preserve">і</w:t>
            </w:r>
            <w:r>
              <w:rPr>
                <w:rFonts w:eastAsia="Calibri"/>
              </w:rPr>
              <w:t xml:space="preserve"> будівлі врахувати вплив ударної хвилі.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Матеріал зовнішніх не несучих стін та внутрішніх перегородок</w:t>
            </w:r>
            <w:r>
              <w:rPr>
                <w:rFonts w:eastAsia="Calibri"/>
              </w:rPr>
              <w:t xml:space="preserve"> – визначити проектом.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Несучі та огороджувальні конструкції споруди цивільного захисту – </w:t>
            </w:r>
            <w:r>
              <w:rPr>
                <w:rFonts w:eastAsia="Calibri"/>
              </w:rPr>
              <w:t xml:space="preserve">монолітний залізобетон.</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 </w:t>
            </w:r>
            <w:r>
              <w:rPr>
                <w:rFonts w:eastAsia="Calibri"/>
                <w:u w:val="single"/>
              </w:rPr>
              <w:t xml:space="preserve">Зовнішнє опорядження стін</w:t>
            </w:r>
            <w:r>
              <w:rPr>
                <w:rFonts w:eastAsia="Calibri"/>
              </w:rPr>
              <w:t xml:space="preserve"> – комбіновано: навісний фасад з покриттям </w:t>
            </w:r>
            <w:r>
              <w:rPr>
                <w:rFonts w:eastAsia="Calibri"/>
              </w:rPr>
              <w:t xml:space="preserve">керамо</w:t>
            </w:r>
            <w:r>
              <w:rPr>
                <w:rFonts w:eastAsia="Calibri"/>
              </w:rPr>
              <w:t xml:space="preserve">-гранітними плитами та фасадні системи з обробкою штукатуркою. Передбачити зовнішнє освітлення фасадів та місця для розташування кондиціонерів;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Вікна</w:t>
            </w:r>
            <w:r>
              <w:rPr>
                <w:rFonts w:eastAsia="Calibri"/>
              </w:rPr>
              <w:t xml:space="preserve"> – фасадна система та вікна в профілі з алюмінію  із заповнення двокамерним склопакетом</w:t>
            </w:r>
            <w:r>
              <w:rPr>
                <w:rFonts w:eastAsia="Calibri"/>
              </w:rPr>
              <w:t xml:space="preserve">;</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Покрівля</w:t>
            </w:r>
            <w:r>
              <w:rPr>
                <w:rFonts w:eastAsia="Calibri"/>
              </w:rPr>
              <w:t xml:space="preserve"> – суміщена покрівля з рулонних матеріалів;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Двері зовнішні</w:t>
            </w:r>
            <w:r>
              <w:rPr>
                <w:rFonts w:eastAsia="Calibri"/>
              </w:rPr>
              <w:t xml:space="preserve"> – металопластикові з подвійними склопакетами, в профілю з алюмінію з подвійними склопакетами, металеві, протиударні. Згідно діючих норм та архітектурним рішенням по фасадам будівлі.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Внутрішнє опорядження стін місць загального користування</w:t>
            </w:r>
            <w:r>
              <w:rPr>
                <w:rFonts w:eastAsia="Calibri"/>
              </w:rPr>
              <w:t xml:space="preserve"> – фарбування водоемульсійними фарбами, керамічна плитка для внутрішніх робіт;</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u w:val="single"/>
              </w:rPr>
              <w:t xml:space="preserve">- Внутрішнє опорядження приміщень:  </w:t>
            </w:r>
            <w:r>
              <w:rPr>
                <w:rFonts w:eastAsia="Calibri"/>
              </w:rPr>
              <w:t xml:space="preserve">відповідно до діючих санітарних норм.</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проектом всі необхідні інженерні мережі відповідно до діючих норм</w:t>
            </w:r>
            <w:r>
              <w:rPr>
                <w:rFonts w:eastAsia="Calibri"/>
              </w:rPr>
              <w:t xml:space="preserve"> та правил,</w:t>
            </w:r>
            <w:r>
              <w:rPr>
                <w:rFonts w:eastAsia="Calibri"/>
              </w:rPr>
              <w:t xml:space="preserve"> та</w:t>
            </w:r>
            <w:r>
              <w:rPr>
                <w:rFonts w:eastAsia="Calibri"/>
              </w:rPr>
              <w:t xml:space="preserve"> на основі</w:t>
            </w:r>
            <w:r>
              <w:rPr>
                <w:rFonts w:eastAsia="Calibri"/>
              </w:rPr>
              <w:t xml:space="preserve"> отриманих технічних умов.</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системи протипожежного захисту</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 передбачити системи блискавкозахисту будівлі</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П</w:t>
            </w:r>
            <w:r>
              <w:rPr>
                <w:rFonts w:eastAsia="Calibri"/>
              </w:rPr>
              <w:t xml:space="preserve">ередбачити проектування зовнішніх інженерних систем, згідно ТУ, отриманих замовником:</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Зовнішні мережі водопостачання і каналізації, зовнішні мережі дощової каналізації.</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Зовнішній протипожежний водопровід (ЗВК)</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Зовнішнє електропостачання. </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Зовнішнє освітлення.</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Комплектація пожежних автомобілів (основні, цільові, спеціальні) надається замовником на етапі розробки проекту</w:t>
            </w:r>
            <w:r>
              <w:rPr>
                <w:rFonts w:eastAsia="Calibri"/>
              </w:rPr>
              <w:t xml:space="preserve"> стадії П</w:t>
            </w:r>
            <w:r>
              <w:rPr>
                <w:rFonts w:eastAsia="Calibri"/>
              </w:rPr>
              <w:t xml:space="preserve">.</w:t>
            </w:r>
            <w:r>
              <w:rPr>
                <w:rFonts w:eastAsia="Calibri"/>
              </w:rPr>
            </w:r>
            <w:r>
              <w:rPr>
                <w:rFonts w:eastAsia="Calibri"/>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rPr>
            </w:pPr>
            <w:r>
              <w:rPr>
                <w:rFonts w:eastAsia="Calibri"/>
              </w:rPr>
              <w:t xml:space="preserve">Тип пожежного депо –ІІ.</w:t>
            </w:r>
            <w:r>
              <w:rPr>
                <w:rFonts w:eastAsia="Calibri"/>
              </w:rPr>
            </w:r>
            <w:r>
              <w:rPr>
                <w:rFonts w:eastAsia="Calibri"/>
              </w:rPr>
            </w:r>
          </w:p>
        </w:tc>
      </w:tr>
      <w:tr>
        <w:trPr>
          <w:trHeight w:val="8354"/>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благоустрою </w:t>
            </w:r>
            <w:r>
              <w:rPr>
                <w:rFonts w:eastAsia="Calibri"/>
                <w:color w:val="auto"/>
                <w:highlight w:val="none"/>
              </w:rPr>
              <w:t xml:space="preserve">майданчика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Розробити в складі проекту схему благоустрою території ділянки.  </w:t>
            </w:r>
            <w:r>
              <w:rPr>
                <w:rFonts w:eastAsia="Calibri"/>
                <w:color w:val="auto"/>
                <w:highlight w:val="none"/>
              </w:rPr>
              <w:t xml:space="preserve">П</w:t>
            </w:r>
            <w:r>
              <w:rPr>
                <w:rFonts w:eastAsia="Calibri"/>
                <w:color w:val="auto"/>
                <w:highlight w:val="none"/>
              </w:rPr>
              <w:t xml:space="preserve">роїзди та розворот</w:t>
            </w:r>
            <w:r>
              <w:rPr>
                <w:rFonts w:eastAsia="Calibri"/>
                <w:color w:val="auto"/>
                <w:highlight w:val="none"/>
              </w:rPr>
              <w:t xml:space="preserve">и,</w:t>
            </w:r>
            <w:r>
              <w:rPr>
                <w:rFonts w:eastAsia="Calibri"/>
                <w:color w:val="auto"/>
                <w:highlight w:val="none"/>
              </w:rPr>
              <w:t xml:space="preserve"> площадки для аварійно – рятувальної техніки. </w:t>
            </w:r>
            <w:r>
              <w:rPr>
                <w:rFonts w:eastAsia="Calibri"/>
                <w:color w:val="auto"/>
                <w:highlight w:val="none"/>
              </w:rPr>
              <w:t xml:space="preserve">При проектуванні території керуватись нормами та положеннями як для реконструкції в умовах наявної забудови.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Перелік будинків, споруд і майданчиків які знаходяться на території об’єкта, встановлюється даним завданням на проектування (додаткові споруди та майданчики можуть бути визначені за бажанням замовника на етапі розробки проекту</w:t>
            </w:r>
            <w:r>
              <w:rPr>
                <w:rFonts w:eastAsia="Calibri"/>
                <w:color w:val="auto"/>
                <w:highlight w:val="none"/>
              </w:rPr>
              <w:t xml:space="preserve"> стадії П</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Склади зберігання вогнегасних порошків, піноутворювачів, паливно-мастильних матеріалів – не передбачати (можуть бути додані за бажанням замовника на етапі розробки </w:t>
            </w:r>
            <w:r>
              <w:rPr>
                <w:rFonts w:eastAsia="Calibri"/>
                <w:color w:val="auto"/>
                <w:highlight w:val="none"/>
              </w:rPr>
              <w:t xml:space="preserve">проекту стадії П</w:t>
            </w:r>
            <w:r>
              <w:rPr>
                <w:rFonts w:eastAsia="Calibri"/>
                <w:color w:val="auto"/>
                <w:highlight w:val="none"/>
              </w:rPr>
              <w:t xml:space="preserve">).</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Майданчик для стометрової смуги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Біговий майданчик з навчальною вежею – даним проектом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Облаштування смуги психологічного підготування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Вогнева смуга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Майданчик для проведення пожежної естафети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Комплекс підготування </w:t>
            </w:r>
            <w:r>
              <w:rPr>
                <w:rFonts w:eastAsia="Calibri"/>
                <w:color w:val="auto"/>
                <w:highlight w:val="none"/>
              </w:rPr>
              <w:t xml:space="preserve">газодимозахисної</w:t>
            </w:r>
            <w:r>
              <w:rPr>
                <w:rFonts w:eastAsia="Calibri"/>
                <w:color w:val="auto"/>
                <w:highlight w:val="none"/>
              </w:rPr>
              <w:t xml:space="preserve"> служби (в тому числі тренувальну залу для підготування </w:t>
            </w:r>
            <w:r>
              <w:rPr>
                <w:rFonts w:eastAsia="Calibri"/>
                <w:color w:val="auto"/>
                <w:highlight w:val="none"/>
              </w:rPr>
              <w:t xml:space="preserve">газодимозахисників</w:t>
            </w:r>
            <w:r>
              <w:rPr>
                <w:rFonts w:eastAsia="Calibri"/>
                <w:color w:val="auto"/>
                <w:highlight w:val="none"/>
              </w:rPr>
              <w:t xml:space="preserve">)  – не передбачати.</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Зали та майданчики для спортивних ігор – не передбачати (можуть бути додані за бажанням замовника на етапі розробки ескізного проекту)</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інженерного захисту територій і захисту будівель і споруд від небезпечних природних чи техногенних факторів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1</w:t>
            </w:r>
            <w:r>
              <w:rPr>
                <w:rFonts w:eastAsia="Calibri"/>
                <w:color w:val="auto"/>
                <w:highlight w:val="none"/>
              </w:rPr>
              <w:t xml:space="preserve">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розроблення розділу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«Оцінка вплив</w:t>
            </w:r>
            <w:r>
              <w:rPr>
                <w:rFonts w:eastAsia="Calibri"/>
                <w:color w:val="auto"/>
                <w:highlight w:val="none"/>
              </w:rPr>
              <w:t xml:space="preserve">у</w:t>
            </w:r>
            <w:r>
              <w:rPr>
                <w:rFonts w:eastAsia="Calibri"/>
                <w:color w:val="auto"/>
                <w:highlight w:val="none"/>
              </w:rPr>
              <w:t xml:space="preserve"> на навколишнє середовище»</w:t>
            </w:r>
            <w:r>
              <w:rPr>
                <w:rFonts w:eastAsia="Calibri"/>
                <w:color w:val="auto"/>
                <w:highlight w:val="none"/>
              </w:rPr>
              <w:t xml:space="preserve"> з урахуванням оцінки впливу на довкілля (за наявності)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з енергозбереження та</w:t>
            </w:r>
            <w:r>
              <w:rPr>
                <w:rFonts w:eastAsia="Calibri"/>
                <w:color w:val="auto"/>
                <w:highlight w:val="none"/>
              </w:rPr>
              <w:t xml:space="preserve"> </w:t>
            </w:r>
            <w:r>
              <w:rPr>
                <w:rFonts w:eastAsia="Calibri"/>
                <w:color w:val="auto"/>
                <w:highlight w:val="none"/>
              </w:rPr>
              <w:t xml:space="preserve">енергоефективності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Розробити відповідно до ДБН В.2.6-31:2021 «Теплова ізоляція та енергоефективність будівель»</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Дані про технології і</w:t>
            </w:r>
            <w:r>
              <w:rPr>
                <w:rFonts w:eastAsia="Calibri"/>
                <w:color w:val="auto"/>
                <w:highlight w:val="none"/>
              </w:rPr>
              <w:t xml:space="preserve">(або) </w:t>
            </w:r>
            <w:r>
              <w:rPr>
                <w:rFonts w:eastAsia="Calibri"/>
                <w:color w:val="auto"/>
                <w:highlight w:val="none"/>
              </w:rPr>
              <w:t xml:space="preserve">науково-дослідні</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роботи</w:t>
            </w:r>
            <w:r>
              <w:rPr>
                <w:rFonts w:eastAsia="Calibri"/>
                <w:color w:val="auto"/>
                <w:highlight w:val="none"/>
              </w:rPr>
              <w:t xml:space="preserve">, які пропонує застосовувати замовник</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Немає</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режиму безпеки та охорон</w:t>
            </w:r>
            <w:r>
              <w:rPr>
                <w:rFonts w:eastAsia="Calibri"/>
                <w:color w:val="auto"/>
                <w:highlight w:val="none"/>
              </w:rPr>
              <w:t xml:space="preserve">и </w:t>
            </w:r>
            <w:r>
              <w:rPr>
                <w:rFonts w:eastAsia="Calibri"/>
                <w:color w:val="auto"/>
                <w:highlight w:val="none"/>
              </w:rPr>
              <w:t xml:space="preserve">праці</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w:t>
            </w:r>
            <w:r>
              <w:rPr>
                <w:rFonts w:eastAsia="Calibri"/>
                <w:color w:val="auto"/>
                <w:highlight w:val="none"/>
              </w:rPr>
              <w:t xml:space="preserve">щодо розроблення розділу інженерно-технічних заходів цивільного захисту</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w:t>
            </w:r>
            <w:r>
              <w:rPr>
                <w:rFonts w:eastAsia="Calibri"/>
                <w:color w:val="auto"/>
                <w:highlight w:val="none"/>
              </w:rPr>
              <w:t xml:space="preserve">з пожежної безпеки об’єкта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t xml:space="preserve">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до розроблення спеціальних заходів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26</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Призначення нежитлових поверхів</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Підвальний поверх – споруда цивільного захисту</w:t>
            </w:r>
            <w:r>
              <w:rPr>
                <w:rFonts w:eastAsia="Calibri"/>
                <w:color w:val="auto"/>
                <w:highlight w:val="none"/>
              </w:rPr>
            </w:r>
            <w:r>
              <w:rPr>
                <w:rFonts w:eastAsia="Calibri"/>
                <w:color w:val="auto"/>
                <w:highlight w:val="none"/>
              </w:rPr>
            </w:r>
          </w:p>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1-й</w:t>
            </w:r>
            <w:r>
              <w:rPr>
                <w:rFonts w:eastAsia="Calibri"/>
                <w:color w:val="auto"/>
                <w:highlight w:val="none"/>
              </w:rPr>
              <w:t xml:space="preserve">, 2-й, </w:t>
            </w:r>
            <w:r>
              <w:rPr>
                <w:rFonts w:eastAsia="Calibri"/>
                <w:color w:val="auto"/>
                <w:highlight w:val="none"/>
              </w:rPr>
              <w:t xml:space="preserve">3-й</w:t>
            </w:r>
            <w:r>
              <w:rPr>
                <w:rFonts w:eastAsia="Calibri"/>
                <w:color w:val="auto"/>
                <w:highlight w:val="none"/>
              </w:rPr>
              <w:t xml:space="preserve">, 4-й</w:t>
            </w:r>
            <w:r>
              <w:rPr>
                <w:rFonts w:eastAsia="Calibri"/>
                <w:color w:val="auto"/>
                <w:highlight w:val="none"/>
              </w:rPr>
              <w:t xml:space="preserve"> поверхи </w:t>
            </w:r>
            <w:r>
              <w:rPr>
                <w:rFonts w:eastAsia="Calibri"/>
                <w:color w:val="auto"/>
                <w:highlight w:val="none"/>
              </w:rPr>
              <w:t xml:space="preserve">–</w:t>
            </w:r>
            <w:r>
              <w:rPr>
                <w:rFonts w:eastAsia="Calibri"/>
                <w:color w:val="auto"/>
                <w:highlight w:val="none"/>
              </w:rPr>
              <w:t xml:space="preserve"> </w:t>
            </w:r>
            <w:r>
              <w:rPr>
                <w:rFonts w:eastAsia="Calibri"/>
                <w:color w:val="auto"/>
                <w:highlight w:val="none"/>
              </w:rPr>
              <w:t xml:space="preserve">приміщення </w:t>
            </w:r>
            <w:r>
              <w:rPr>
                <w:rFonts w:eastAsia="Calibri"/>
                <w:color w:val="auto"/>
                <w:highlight w:val="none"/>
              </w:rPr>
              <w:t xml:space="preserve">пожежно</w:t>
            </w:r>
            <w:r>
              <w:rPr>
                <w:rFonts w:eastAsia="Calibri"/>
                <w:color w:val="auto"/>
                <w:highlight w:val="none"/>
              </w:rPr>
              <w:t xml:space="preserve">-рятувальної частини</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w:t>
            </w:r>
            <w:r>
              <w:rPr>
                <w:rFonts w:eastAsia="Calibri"/>
                <w:color w:val="auto"/>
                <w:highlight w:val="none"/>
              </w:rPr>
              <w:t xml:space="preserve">7</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Перелік будівель та споруд,  що проектуються у складі комплексу</w:t>
            </w:r>
            <w:r>
              <w:rPr>
                <w:rFonts w:eastAsia="Calibri"/>
                <w:color w:val="auto"/>
                <w:highlight w:val="none"/>
              </w:rPr>
              <w:t xml:space="preserve"> (будови)</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Б</w:t>
            </w:r>
            <w:r>
              <w:rPr>
                <w:rFonts w:eastAsia="Calibri"/>
                <w:color w:val="auto"/>
                <w:highlight w:val="none"/>
              </w:rPr>
              <w:t xml:space="preserve">удівл</w:t>
            </w:r>
            <w:r>
              <w:rPr>
                <w:rFonts w:eastAsia="Calibri"/>
                <w:color w:val="auto"/>
                <w:highlight w:val="none"/>
              </w:rPr>
              <w:t xml:space="preserve">я</w:t>
            </w:r>
            <w:r>
              <w:rPr>
                <w:rFonts w:eastAsia="Calibri"/>
                <w:color w:val="auto"/>
                <w:highlight w:val="none"/>
              </w:rPr>
              <w:t xml:space="preserve"> </w:t>
            </w:r>
            <w:r>
              <w:rPr>
                <w:rFonts w:eastAsia="Calibri"/>
                <w:color w:val="auto"/>
                <w:highlight w:val="none"/>
              </w:rPr>
              <w:t xml:space="preserve">пожежно</w:t>
            </w:r>
            <w:r>
              <w:rPr>
                <w:rFonts w:eastAsia="Calibri"/>
                <w:color w:val="auto"/>
                <w:highlight w:val="none"/>
              </w:rPr>
              <w:t xml:space="preserve">-рятувальної частини</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28</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Необхідність виконання науково-технічного супроводу</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Відсутня</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29</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w:t>
            </w:r>
            <w:r>
              <w:rPr>
                <w:rFonts w:eastAsia="Calibri"/>
                <w:color w:val="auto"/>
                <w:highlight w:val="none"/>
              </w:rPr>
              <w:t xml:space="preserve">створення умов для безперешкодного доступу </w:t>
            </w:r>
            <w:r>
              <w:rPr>
                <w:rFonts w:eastAsia="Calibri"/>
                <w:color w:val="auto"/>
                <w:highlight w:val="none"/>
              </w:rPr>
              <w:t xml:space="preserve">маломобільних</w:t>
            </w:r>
            <w:r>
              <w:rPr>
                <w:rFonts w:eastAsia="Calibri"/>
                <w:color w:val="auto"/>
                <w:highlight w:val="none"/>
              </w:rPr>
              <w:t xml:space="preserve"> груп населення згідно з ДБН В.2.2-40</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30</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забезпечення збалансованого використання природних ресурсів згідно з ДСТУ 9171</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Згідно діючих норм</w:t>
            </w:r>
            <w:r>
              <w:rPr>
                <w:rFonts w:eastAsia="Calibri"/>
                <w:color w:val="auto"/>
                <w:highlight w:val="none"/>
              </w:rPr>
              <w:t xml:space="preserve"> та правил</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31</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електронної версії проектної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у електронному вигляді у форматі </w:t>
            </w:r>
            <w:r>
              <w:rPr>
                <w:rFonts w:eastAsia="Calibri"/>
                <w:color w:val="auto"/>
                <w:highlight w:val="none"/>
              </w:rPr>
              <w:t xml:space="preserve">pdf</w:t>
            </w:r>
            <w:r>
              <w:rPr>
                <w:rFonts w:eastAsia="Calibri"/>
                <w:color w:val="auto"/>
                <w:highlight w:val="none"/>
              </w:rPr>
              <w:t xml:space="preserve">.</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32</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Вимоги щодо складання відомості з обсягами робіт (може визначатись із застосуванням міжнародних систем вимірювання)</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lang w:val="ru-RU"/>
              </w:rPr>
              <w:t xml:space="preserve"> </w:t>
            </w:r>
            <w:r>
              <w:rPr>
                <w:rFonts w:eastAsia="Calibri"/>
                <w:color w:val="auto"/>
                <w:highlight w:val="none"/>
                <w:lang w:val="ru-RU"/>
              </w:rPr>
              <w:t xml:space="preserve">в</w:t>
            </w:r>
            <w:r>
              <w:rPr>
                <w:rFonts w:eastAsia="Calibri"/>
                <w:color w:val="auto"/>
                <w:highlight w:val="none"/>
              </w:rPr>
              <w:t xml:space="preserve">ідсутні</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33</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Вимого щодо розроблення кошторисної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необхідність врахування інфляційних процесів;</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w:t>
            </w:r>
            <w:r>
              <w:rPr>
                <w:rFonts w:eastAsia="Calibri"/>
                <w:color w:val="auto"/>
                <w:highlight w:val="none"/>
              </w:rPr>
              <w:t xml:space="preserve">витрати</w:t>
            </w:r>
            <w:r>
              <w:rPr>
                <w:rFonts w:eastAsia="Calibri"/>
                <w:color w:val="auto"/>
                <w:highlight w:val="none"/>
              </w:rPr>
              <w:t xml:space="preserve"> на утримання служби замовника;</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необхідність технічного та авторського нагляду;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w:t>
            </w:r>
            <w:r>
              <w:rPr>
                <w:rFonts w:eastAsia="Calibri"/>
                <w:color w:val="auto"/>
                <w:highlight w:val="none"/>
              </w:rPr>
              <w:t xml:space="preserve">витрати</w:t>
            </w:r>
            <w:r>
              <w:rPr>
                <w:rFonts w:eastAsia="Calibri"/>
                <w:color w:val="auto"/>
                <w:highlight w:val="none"/>
              </w:rPr>
              <w:t xml:space="preserve"> на проведення експертизи проектної документації;</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заробітну плату в кошторисі прийняти згідно середньої по м. Києву;</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витрати на виготовлення примірників проектно-кошторисної документації;</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покриття ризиків всіх учасників будівництва;</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врахувати інфляційні процеси;</w:t>
            </w:r>
            <w:r>
              <w:rPr>
                <w:rFonts w:eastAsia="Calibri"/>
                <w:color w:val="auto"/>
                <w:highlight w:val="none"/>
              </w:rPr>
            </w:r>
            <w:r>
              <w:rPr>
                <w:rFonts w:eastAsia="Calibri"/>
                <w:color w:val="auto"/>
                <w:highlight w:val="none"/>
              </w:rPr>
            </w:r>
          </w:p>
          <w:p>
            <w:pPr>
              <w:numPr>
                <w:ilvl w:val="0"/>
                <w:numId w:val="5"/>
              </w:numPr>
              <w:pBdr>
                <w:top w:val="none" w:color="000000" w:sz="4" w:space="0"/>
                <w:left w:val="none" w:color="000000" w:sz="4" w:space="0"/>
                <w:bottom w:val="none" w:color="000000" w:sz="4" w:space="0"/>
                <w:right w:val="none" w:color="000000" w:sz="4" w:space="0"/>
                <w:between w:val="none" w:color="000000" w:sz="4" w:space="0"/>
              </w:pBdr>
              <w:spacing/>
              <w:ind w:left="332"/>
              <w:rPr>
                <w:rFonts w:eastAsia="Calibri"/>
                <w:color w:val="auto"/>
                <w:highlight w:val="none"/>
              </w:rPr>
            </w:pPr>
            <w:r>
              <w:rPr>
                <w:rFonts w:eastAsia="Calibri"/>
                <w:color w:val="auto"/>
                <w:highlight w:val="none"/>
              </w:rPr>
              <w:t xml:space="preserve">в</w:t>
            </w:r>
            <w:r>
              <w:rPr>
                <w:rFonts w:eastAsia="Calibri"/>
                <w:color w:val="auto"/>
                <w:highlight w:val="none"/>
              </w:rPr>
              <w:t xml:space="preserve">рахува</w:t>
            </w:r>
            <w:r>
              <w:rPr>
                <w:rFonts w:eastAsia="Calibri"/>
                <w:color w:val="auto"/>
                <w:highlight w:val="none"/>
              </w:rPr>
              <w:t xml:space="preserve">ти</w:t>
            </w:r>
            <w:r>
              <w:rPr>
                <w:rFonts w:eastAsia="Calibri"/>
                <w:color w:val="auto"/>
                <w:highlight w:val="none"/>
              </w:rPr>
              <w:t xml:space="preserve"> витрат</w:t>
            </w:r>
            <w:r>
              <w:rPr>
                <w:rFonts w:eastAsia="Calibri"/>
                <w:color w:val="auto"/>
                <w:highlight w:val="none"/>
              </w:rPr>
              <w:t xml:space="preserve">и</w:t>
            </w:r>
            <w:r>
              <w:rPr>
                <w:rFonts w:eastAsia="Calibri"/>
                <w:color w:val="auto"/>
                <w:highlight w:val="none"/>
              </w:rPr>
              <w:t xml:space="preserve"> на введення</w:t>
            </w:r>
            <w:r>
              <w:rPr>
                <w:rFonts w:eastAsia="Calibri"/>
                <w:color w:val="auto"/>
                <w:highlight w:val="none"/>
              </w:rPr>
              <w:t xml:space="preserve"> об’єкта</w:t>
            </w:r>
            <w:r>
              <w:rPr>
                <w:rFonts w:eastAsia="Calibri"/>
                <w:color w:val="auto"/>
                <w:highlight w:val="none"/>
              </w:rPr>
              <w:t xml:space="preserve"> в експлуатацію.</w:t>
            </w:r>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34</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Вказівки про кількість примірників проектної документації</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color w:val="auto"/>
                <w:highlight w:val="none"/>
              </w:rPr>
            </w:r>
            <w:hyperlink r:id="rId42" w:tooltip="https://ips.ligazakon.net/document/view/re34282?ed=2019_12_17&amp;an=34" w:history="1">
              <w:r>
                <w:rPr>
                  <w:rFonts w:eastAsia="Calibri"/>
                  <w:color w:val="auto"/>
                  <w:highlight w:val="none"/>
                </w:rPr>
                <w:t xml:space="preserve">Матеріали стадій  П,</w:t>
              </w:r>
            </w:hyperlink>
            <w:r>
              <w:rPr>
                <w:rFonts w:eastAsia="Calibri"/>
                <w:color w:val="auto"/>
                <w:highlight w:val="none"/>
              </w:rPr>
              <w:t xml:space="preserve">  </w:t>
            </w:r>
            <w:hyperlink r:id="rId43" w:tooltip="https://ips.ligazakon.net/document/view/re34282?ed=2019_12_17&amp;an=34" w:history="1">
              <w:r>
                <w:rPr>
                  <w:rFonts w:eastAsia="Calibri"/>
                  <w:color w:val="auto"/>
                  <w:highlight w:val="none"/>
                </w:rPr>
                <w:t xml:space="preserve">та Р </w:t>
              </w:r>
              <w:r>
                <w:rPr>
                  <w:rFonts w:eastAsia="Calibri"/>
                  <w:color w:val="auto"/>
                  <w:highlight w:val="none"/>
                </w:rPr>
                <w:t xml:space="preserve">генпроектувальник</w:t>
              </w:r>
              <w:r>
                <w:rPr>
                  <w:rFonts w:eastAsia="Calibri"/>
                  <w:color w:val="auto"/>
                  <w:highlight w:val="none"/>
                </w:rPr>
                <w:t xml:space="preserve"> (проектувальник) передає замовнику на паперових носіях </w:t>
              </w:r>
              <w:r>
                <w:rPr>
                  <w:rFonts w:eastAsia="Calibri"/>
                  <w:color w:val="auto"/>
                  <w:highlight w:val="none"/>
                </w:rPr>
                <w:t xml:space="preserve">в</w:t>
              </w:r>
              <w:r>
                <w:rPr>
                  <w:rFonts w:eastAsia="Calibri"/>
                  <w:color w:val="auto"/>
                  <w:highlight w:val="none"/>
                </w:rPr>
                <w:t xml:space="preserve"> чотирьох примірниках</w:t>
              </w:r>
              <w:r>
                <w:rPr>
                  <w:rFonts w:eastAsia="Calibri"/>
                  <w:color w:val="auto"/>
                  <w:highlight w:val="none"/>
                </w:rPr>
                <w:t xml:space="preserve">.</w:t>
              </w:r>
              <w:r>
                <w:rPr>
                  <w:rFonts w:eastAsia="Calibri"/>
                  <w:color w:val="auto"/>
                  <w:highlight w:val="none"/>
                </w:rPr>
                <w:t xml:space="preserve"> </w:t>
              </w:r>
            </w:hyperlink>
            <w:r>
              <w:rPr>
                <w:rFonts w:eastAsia="Calibri"/>
                <w:color w:val="auto"/>
                <w:highlight w:val="none"/>
              </w:rPr>
            </w:r>
            <w:r>
              <w:rPr>
                <w:rFonts w:eastAsia="Calibri"/>
                <w:color w:val="auto"/>
                <w:highlight w:val="none"/>
              </w:rPr>
            </w:r>
          </w:p>
        </w:tc>
      </w:tr>
      <w:tr>
        <w:trPr>
          <w:trHeight w:val="1061"/>
        </w:trPr>
        <w:tc>
          <w:tcPr>
            <w:tcBorders/>
            <w:tcMar>
              <w:left w:w="28" w:type="dxa"/>
            </w:tcMar>
            <w:tcW w:w="709"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jc w:val="center"/>
              <w:rPr>
                <w:rFonts w:eastAsia="Calibri"/>
                <w:color w:val="auto"/>
                <w:highlight w:val="none"/>
              </w:rPr>
            </w:pPr>
            <w:r>
              <w:rPr>
                <w:rFonts w:eastAsia="Calibri"/>
                <w:color w:val="auto"/>
                <w:highlight w:val="none"/>
              </w:rPr>
              <w:t xml:space="preserve">35</w:t>
            </w:r>
            <w:r>
              <w:rPr>
                <w:rFonts w:eastAsia="Calibri"/>
                <w:color w:val="auto"/>
                <w:highlight w:val="none"/>
              </w:rPr>
            </w:r>
            <w:r>
              <w:rPr>
                <w:rFonts w:eastAsia="Calibri"/>
                <w:color w:val="auto"/>
                <w:highlight w:val="none"/>
              </w:rPr>
            </w:r>
          </w:p>
        </w:tc>
        <w:tc>
          <w:tcPr>
            <w:tcBorders/>
            <w:tcW w:w="3100"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Директивний термін будівництва</w:t>
            </w:r>
            <w:r>
              <w:rPr>
                <w:rFonts w:eastAsia="Calibri"/>
                <w:color w:val="auto"/>
                <w:highlight w:val="none"/>
              </w:rPr>
            </w:r>
            <w:r>
              <w:rPr>
                <w:rFonts w:eastAsia="Calibri"/>
                <w:color w:val="auto"/>
                <w:highlight w:val="none"/>
              </w:rPr>
            </w:r>
          </w:p>
        </w:tc>
        <w:tc>
          <w:tcPr>
            <w:tcBorders/>
            <w:tcW w:w="6238" w:type="dxa"/>
            <w:vAlign w:val="center"/>
            <w:textDirection w:val="lrTb"/>
            <w:noWrap w:val="false"/>
          </w:tcPr>
          <w:p>
            <w:pPr>
              <w:pBdr>
                <w:top w:val="none" w:color="000000" w:sz="4" w:space="0"/>
                <w:left w:val="none" w:color="000000" w:sz="4" w:space="0"/>
                <w:bottom w:val="none" w:color="000000" w:sz="4" w:space="0"/>
                <w:right w:val="none" w:color="000000" w:sz="4" w:space="0"/>
                <w:between w:val="none" w:color="000000" w:sz="4" w:space="0"/>
              </w:pBdr>
              <w:spacing/>
              <w:ind/>
              <w:rPr>
                <w:rFonts w:eastAsia="Calibri"/>
                <w:color w:val="auto"/>
                <w:highlight w:val="none"/>
              </w:rPr>
            </w:pPr>
            <w:r>
              <w:rPr>
                <w:rFonts w:eastAsia="Calibri"/>
                <w:color w:val="auto"/>
                <w:highlight w:val="none"/>
              </w:rPr>
              <w:t xml:space="preserve">Прийняти 2 роки.</w:t>
            </w:r>
            <w:r>
              <w:rPr>
                <w:rFonts w:eastAsia="Calibri"/>
                <w:color w:val="auto"/>
                <w:highlight w:val="none"/>
              </w:rPr>
            </w:r>
            <w:r>
              <w:rPr>
                <w:rFonts w:eastAsia="Calibri"/>
                <w:color w:val="auto"/>
                <w:highlight w:val="none"/>
              </w:rPr>
            </w:r>
          </w:p>
        </w:tc>
      </w:tr>
    </w:tbl>
    <w:p>
      <w:pPr>
        <w:pBdr>
          <w:top w:val="none" w:color="000000" w:sz="4" w:space="0"/>
          <w:left w:val="none" w:color="000000" w:sz="4" w:space="0"/>
          <w:bottom w:val="none" w:color="000000" w:sz="4" w:space="0"/>
          <w:right w:val="none" w:color="000000" w:sz="4" w:space="0"/>
          <w:between w:val="none" w:color="000000" w:sz="4" w:space="0"/>
        </w:pBdr>
        <w:spacing/>
        <w:ind/>
        <w:rPr>
          <w:rFonts w:ascii="Calibri" w:hAnsi="Calibri" w:eastAsia="Calibri" w:cs="Calibri"/>
          <w:b/>
          <w:color w:val="auto"/>
          <w:sz w:val="28"/>
          <w:szCs w:val="28"/>
          <w:highlight w:val="none"/>
        </w:rPr>
      </w:pPr>
      <w:r>
        <w:rPr>
          <w:rFonts w:ascii="Calibri" w:hAnsi="Calibri" w:eastAsia="Calibri" w:cs="Calibri"/>
          <w:b/>
          <w:color w:val="auto"/>
          <w:sz w:val="28"/>
          <w:szCs w:val="28"/>
          <w:highlight w:val="none"/>
        </w:rPr>
      </w:r>
      <w:r>
        <w:rPr>
          <w:rFonts w:ascii="Calibri" w:hAnsi="Calibri" w:eastAsia="Calibri" w:cs="Calibri"/>
          <w:b/>
          <w:color w:val="auto"/>
          <w:sz w:val="28"/>
          <w:szCs w:val="28"/>
          <w:highlight w:val="none"/>
        </w:rPr>
      </w:r>
      <w:r>
        <w:rPr>
          <w:rFonts w:ascii="Calibri" w:hAnsi="Calibri" w:eastAsia="Calibri" w:cs="Calibri"/>
          <w:b/>
          <w:color w:val="auto"/>
          <w:sz w:val="28"/>
          <w:szCs w:val="28"/>
          <w:highlight w:val="none"/>
        </w:rPr>
      </w:r>
    </w:p>
    <w:p>
      <w:pPr>
        <w:pBdr/>
        <w:spacing/>
        <w:ind/>
        <w:jc w:val="both"/>
        <w:rPr>
          <w:bCs/>
          <w:i/>
          <w:iCs/>
          <w:color w:val="auto"/>
          <w:highlight w:val="none"/>
        </w:rPr>
      </w:pPr>
      <w:r>
        <w:rPr>
          <w:bCs/>
          <w:i/>
          <w:iCs/>
          <w:color w:val="auto"/>
          <w:highlight w:val="none"/>
        </w:rPr>
        <w:t xml:space="preserve">На підтвердження технічним, якісним та кількісним характеристикам до предмета закупівлі, учасник повинен надати у складі тендерної пропо</w:t>
      </w:r>
      <w:bookmarkStart w:id="76" w:name="_GoBack"/>
      <w:r>
        <w:rPr>
          <w:color w:val="auto"/>
          <w:highlight w:val="none"/>
        </w:rPr>
      </w:r>
      <w:bookmarkEnd w:id="76"/>
      <w:r>
        <w:rPr>
          <w:bCs/>
          <w:i/>
          <w:iCs/>
          <w:color w:val="auto"/>
          <w:highlight w:val="none"/>
        </w:rPr>
        <w:t xml:space="preserve">зиції договірну ціну з кошторисом на </w:t>
      </w:r>
      <w:r>
        <w:rPr>
          <w:bCs/>
          <w:i/>
          <w:iCs/>
          <w:color w:val="auto"/>
          <w:highlight w:val="none"/>
        </w:rPr>
        <w:t xml:space="preserve">проєктні</w:t>
      </w:r>
      <w:r>
        <w:rPr>
          <w:bCs/>
          <w:i/>
          <w:iCs/>
          <w:color w:val="auto"/>
          <w:highlight w:val="none"/>
        </w:rPr>
        <w:t xml:space="preserve"> роботи.</w:t>
      </w:r>
      <w:r>
        <w:rPr>
          <w:bCs/>
          <w:i/>
          <w:iCs/>
          <w:color w:val="auto"/>
          <w:highlight w:val="none"/>
        </w:rPr>
      </w:r>
      <w:r>
        <w:rPr>
          <w:bCs/>
          <w:i/>
          <w:iCs/>
          <w:color w:val="auto"/>
          <w:highlight w:val="none"/>
        </w:rPr>
      </w:r>
    </w:p>
    <w:sectPr>
      <w:footerReference w:type="default" r:id="rId9"/>
      <w:footerReference w:type="even" r:id="rId10"/>
      <w:footnotePr/>
      <w:endnotePr/>
      <w:type w:val="nextPage"/>
      <w:pgSz w:h="16838" w:orient="landscape" w:w="11906"/>
      <w:pgMar w:top="567" w:right="851" w:bottom="425" w:left="851" w:header="709" w:footer="709" w:gutter="0"/>
      <w:pgNumType w:start="1"/>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Noto Sans Symbols">
    <w:panose1 w:val="02000603000000000000"/>
  </w:font>
  <w:font w:name="Courier New">
    <w:panose1 w:val="02070309020205020404"/>
  </w:font>
  <w:font w:name="Tahoma">
    <w:panose1 w:val="020B0604030504040204"/>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jc w:val="center"/>
      <w:rPr>
        <w:color w:val="000000"/>
      </w:rPr>
    </w:pPr>
    <w:r>
      <w:rPr>
        <w:color w:val="000000"/>
      </w:rPr>
    </w:r>
    <w:r>
      <w:rPr>
        <w:color w:val="000000"/>
      </w:rPr>
    </w:r>
    <w:r>
      <w:rPr>
        <w:color w:val="000000"/>
      </w:rPr>
    </w:r>
  </w:p>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right="360"/>
      <w:rPr>
        <w:color w:val="000000"/>
      </w:rPr>
    </w:pPr>
    <w:r>
      <w:rPr>
        <w:color w:val="000000"/>
      </w:rPr>
    </w:r>
    <w:r>
      <w:rPr>
        <w:color w:val="000000"/>
      </w:rPr>
    </w:r>
    <w:r>
      <w:rPr>
        <w:color w:val="000000"/>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jc w:val="center"/>
      <w:rPr>
        <w:color w:val="000000"/>
      </w:rPr>
    </w:pPr>
    <w:r>
      <w:rPr>
        <w:color w:val="000000"/>
      </w:rPr>
      <w:fldChar w:fldCharType="begin"/>
    </w:r>
    <w:r>
      <w:rPr>
        <w:color w:val="000000"/>
      </w:rPr>
      <w:instrText xml:space="preserve">PAGE</w:instrText>
    </w:r>
    <w:r>
      <w:rPr>
        <w:color w:val="000000"/>
      </w:rPr>
      <w:fldChar w:fldCharType="end"/>
    </w:r>
    <w:r>
      <w:rPr>
        <w:color w:val="000000"/>
      </w:rPr>
    </w:r>
    <w:r>
      <w:rPr>
        <w:color w:val="000000"/>
      </w:rPr>
    </w:r>
  </w:p>
  <w:p>
    <w:pPr>
      <w:pBdr>
        <w:top w:val="none" w:color="000000" w:sz="4" w:space="0"/>
        <w:left w:val="none" w:color="000000" w:sz="4" w:space="0"/>
        <w:bottom w:val="none" w:color="000000" w:sz="4" w:space="0"/>
        <w:right w:val="none" w:color="000000" w:sz="4" w:space="0"/>
        <w:between w:val="none" w:color="000000" w:sz="4" w:space="0"/>
      </w:pBdr>
      <w:tabs>
        <w:tab w:val="center" w:leader="none" w:pos="4677"/>
        <w:tab w:val="right" w:leader="none" w:pos="9355"/>
      </w:tabs>
      <w:spacing/>
      <w:ind w:right="360"/>
      <w:rPr>
        <w:color w:val="000000"/>
      </w:rPr>
    </w:pPr>
    <w:r>
      <w:rPr>
        <w:color w:val="000000"/>
      </w:rPr>
    </w:r>
    <w:r>
      <w:rPr>
        <w:color w:val="000000"/>
      </w:rPr>
    </w:r>
    <w:r>
      <w:rPr>
        <w:color w:val="000000"/>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1">
    <w:lvl w:ilvl="0">
      <w:isLgl w:val="false"/>
      <w:lvlJc w:val="left"/>
      <w:lvlText w:val="%1)"/>
      <w:numFmt w:val="decimal"/>
      <w:pPr>
        <w:pBdr/>
        <w:spacing/>
        <w:ind w:hanging="360" w:left="585"/>
      </w:pPr>
      <w:rPr>
        <w:rFonts w:hint="default"/>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2">
    <w:lvl w:ilvl="0">
      <w:isLgl w:val="false"/>
      <w:lvlJc w:val="left"/>
      <w:lvlText w:val="%1)"/>
      <w:numFmt w:val="decimal"/>
      <w:pPr>
        <w:pBdr/>
        <w:spacing/>
        <w:ind w:hanging="360" w:left="720"/>
      </w:pPr>
      <w:rPr>
        <w:rFonts w:hint="default"/>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abstractNum w:abstractNumId="3">
    <w:lvl w:ilvl="0">
      <w:isLgl w:val="false"/>
      <w:lvlJc w:val="left"/>
      <w:lvlText w:val="-"/>
      <w:numFmt w:val="bullet"/>
      <w:pPr>
        <w:pBdr/>
        <w:spacing/>
        <w:ind w:hanging="360" w:left="720"/>
      </w:pPr>
      <w:rPr>
        <w:rFonts w:ascii="Calibri" w:hAnsi="Calibri" w:eastAsia="Calibri" w:cs="Calibri"/>
      </w:rPr>
      <w:start w:val="4"/>
      <w:suff w:val="tab"/>
    </w:lvl>
    <w:lvl w:ilvl="1">
      <w:isLgl w:val="false"/>
      <w:lvlJc w:val="left"/>
      <w:lvlText w:val="o"/>
      <w:numFmt w:val="bullet"/>
      <w:pPr>
        <w:pBdr/>
        <w:spacing/>
        <w:ind w:hanging="360" w:left="1440"/>
      </w:pPr>
      <w:rPr>
        <w:rFonts w:ascii="Courier New" w:hAnsi="Courier New" w:eastAsia="Courier New" w:cs="Courier New"/>
      </w:rPr>
      <w:start w:val="1"/>
      <w:suff w:val="tab"/>
    </w:lvl>
    <w:lvl w:ilvl="2">
      <w:isLgl w:val="false"/>
      <w:lvlJc w:val="left"/>
      <w:lvlText w:val="▪"/>
      <w:numFmt w:val="bullet"/>
      <w:pPr>
        <w:pBdr/>
        <w:spacing/>
        <w:ind w:hanging="360" w:left="2160"/>
      </w:pPr>
      <w:rPr>
        <w:rFonts w:ascii="Noto Sans Symbols" w:hAnsi="Noto Sans Symbols" w:eastAsia="Noto Sans Symbols" w:cs="Noto Sans Symbols"/>
      </w:rPr>
      <w:start w:val="1"/>
      <w:suff w:val="tab"/>
    </w:lvl>
    <w:lvl w:ilvl="3">
      <w:isLgl w:val="false"/>
      <w:lvlJc w:val="left"/>
      <w:lvlText w:val="●"/>
      <w:numFmt w:val="bullet"/>
      <w:pPr>
        <w:pBdr/>
        <w:spacing/>
        <w:ind w:hanging="360" w:left="2880"/>
      </w:pPr>
      <w:rPr>
        <w:rFonts w:ascii="Noto Sans Symbols" w:hAnsi="Noto Sans Symbols" w:eastAsia="Noto Sans Symbols" w:cs="Noto Sans Symbols"/>
      </w:rPr>
      <w:start w:val="1"/>
      <w:suff w:val="tab"/>
    </w:lvl>
    <w:lvl w:ilvl="4">
      <w:isLgl w:val="false"/>
      <w:lvlJc w:val="left"/>
      <w:lvlText w:val="o"/>
      <w:numFmt w:val="bullet"/>
      <w:pPr>
        <w:pBdr/>
        <w:spacing/>
        <w:ind w:hanging="360" w:left="3600"/>
      </w:pPr>
      <w:rPr>
        <w:rFonts w:ascii="Courier New" w:hAnsi="Courier New" w:eastAsia="Courier New" w:cs="Courier New"/>
      </w:rPr>
      <w:start w:val="1"/>
      <w:suff w:val="tab"/>
    </w:lvl>
    <w:lvl w:ilvl="5">
      <w:isLgl w:val="false"/>
      <w:lvlJc w:val="left"/>
      <w:lvlText w:val="▪"/>
      <w:numFmt w:val="bullet"/>
      <w:pPr>
        <w:pBdr/>
        <w:spacing/>
        <w:ind w:hanging="360" w:left="4320"/>
      </w:pPr>
      <w:rPr>
        <w:rFonts w:ascii="Noto Sans Symbols" w:hAnsi="Noto Sans Symbols" w:eastAsia="Noto Sans Symbols" w:cs="Noto Sans Symbols"/>
      </w:rPr>
      <w:start w:val="1"/>
      <w:suff w:val="tab"/>
    </w:lvl>
    <w:lvl w:ilvl="6">
      <w:isLgl w:val="false"/>
      <w:lvlJc w:val="left"/>
      <w:lvlText w:val="●"/>
      <w:numFmt w:val="bullet"/>
      <w:pPr>
        <w:pBdr/>
        <w:spacing/>
        <w:ind w:hanging="360" w:left="5040"/>
      </w:pPr>
      <w:rPr>
        <w:rFonts w:ascii="Noto Sans Symbols" w:hAnsi="Noto Sans Symbols" w:eastAsia="Noto Sans Symbols" w:cs="Noto Sans Symbols"/>
      </w:rPr>
      <w:start w:val="1"/>
      <w:suff w:val="tab"/>
    </w:lvl>
    <w:lvl w:ilvl="7">
      <w:isLgl w:val="false"/>
      <w:lvlJc w:val="left"/>
      <w:lvlText w:val="o"/>
      <w:numFmt w:val="bullet"/>
      <w:pPr>
        <w:pBdr/>
        <w:spacing/>
        <w:ind w:hanging="360" w:left="5760"/>
      </w:pPr>
      <w:rPr>
        <w:rFonts w:ascii="Courier New" w:hAnsi="Courier New" w:eastAsia="Courier New" w:cs="Courier New"/>
      </w:rPr>
      <w:start w:val="1"/>
      <w:suff w:val="tab"/>
    </w:lvl>
    <w:lvl w:ilvl="8">
      <w:isLgl w:val="false"/>
      <w:lvlJc w:val="left"/>
      <w:lvlText w:val="▪"/>
      <w:numFmt w:val="bullet"/>
      <w:pPr>
        <w:pBdr/>
        <w:spacing/>
        <w:ind w:hanging="360" w:left="6480"/>
      </w:pPr>
      <w:rPr>
        <w:rFonts w:ascii="Noto Sans Symbols" w:hAnsi="Noto Sans Symbols" w:eastAsia="Noto Sans Symbols" w:cs="Noto Sans Symbols"/>
      </w:rPr>
      <w:start w:val="1"/>
      <w:suff w:val="tab"/>
    </w:lvl>
  </w:abstractNum>
  <w:abstractNum w:abstractNumId="4">
    <w:lvl w:ilvl="0">
      <w:isLgl w:val="false"/>
      <w:lvlJc w:val="left"/>
      <w:lvlText w:val="•"/>
      <w:numFmt w:val="bullet"/>
      <w:pPr>
        <w:pBdr/>
        <w:spacing/>
        <w:ind w:firstLine="0" w:left="0"/>
      </w:pPr>
      <w:rPr>
        <w:rFonts w:ascii="Arial" w:hAnsi="Arial" w:eastAsia="Arial" w:cs="Arial"/>
        <w:b w:val="0"/>
        <w:bCs w:val="0"/>
        <w:i w:val="0"/>
        <w:iCs w:val="0"/>
        <w:smallCaps w:val="0"/>
        <w:strike w:val="0"/>
        <w:color w:val="000000"/>
        <w:spacing w:val="0"/>
        <w:position w:val="0"/>
        <w:sz w:val="22"/>
        <w:szCs w:val="22"/>
        <w:u w:val="none"/>
        <w:lang w:val="uk-UA" w:eastAsia="uk-UA" w:bidi="uk-UA"/>
      </w:rPr>
      <w:start w:val="1"/>
      <w:suff w:val="tab"/>
    </w:lvl>
    <w:lvl w:ilvl="1">
      <w:isLgl w:val="false"/>
      <w:lvlJc w:val="left"/>
      <w:lvlText w:val="o"/>
      <w:numFmt w:val="decimal"/>
      <w:pPr>
        <w:pBdr/>
        <w:spacing/>
        <w:ind w:firstLine="0" w:left="0"/>
      </w:pPr>
      <w:rPr/>
      <w:start w:val="1"/>
      <w:suff w:val="tab"/>
    </w:lvl>
    <w:lvl w:ilvl="2">
      <w:isLgl w:val="false"/>
      <w:lvlJc w:val="left"/>
      <w:lvlText w:val="§"/>
      <w:numFmt w:val="decimal"/>
      <w:pPr>
        <w:pBdr/>
        <w:spacing/>
        <w:ind w:firstLine="0" w:left="0"/>
      </w:pPr>
      <w:rPr/>
      <w:start w:val="1"/>
      <w:suff w:val="tab"/>
    </w:lvl>
    <w:lvl w:ilvl="3">
      <w:isLgl w:val="false"/>
      <w:lvlJc w:val="left"/>
      <w:lvlText w:val="·"/>
      <w:numFmt w:val="decimal"/>
      <w:pPr>
        <w:pBdr/>
        <w:spacing/>
        <w:ind w:firstLine="0" w:left="0"/>
      </w:pPr>
      <w:rPr/>
      <w:start w:val="1"/>
      <w:suff w:val="tab"/>
    </w:lvl>
    <w:lvl w:ilvl="4">
      <w:isLgl w:val="false"/>
      <w:lvlJc w:val="left"/>
      <w:lvlText w:val="o"/>
      <w:numFmt w:val="decimal"/>
      <w:pPr>
        <w:pBdr/>
        <w:spacing/>
        <w:ind w:firstLine="0" w:left="0"/>
      </w:pPr>
      <w:rPr/>
      <w:start w:val="1"/>
      <w:suff w:val="tab"/>
    </w:lvl>
    <w:lvl w:ilvl="5">
      <w:isLgl w:val="false"/>
      <w:lvlJc w:val="left"/>
      <w:lvlText w:val="§"/>
      <w:numFmt w:val="decimal"/>
      <w:pPr>
        <w:pBdr/>
        <w:spacing/>
        <w:ind w:firstLine="0" w:left="0"/>
      </w:pPr>
      <w:rPr/>
      <w:start w:val="1"/>
      <w:suff w:val="tab"/>
    </w:lvl>
    <w:lvl w:ilvl="6">
      <w:isLgl w:val="false"/>
      <w:lvlJc w:val="left"/>
      <w:lvlText w:val="·"/>
      <w:numFmt w:val="decimal"/>
      <w:pPr>
        <w:pBdr/>
        <w:spacing/>
        <w:ind w:firstLine="0" w:left="0"/>
      </w:pPr>
      <w:rPr/>
      <w:start w:val="1"/>
      <w:suff w:val="tab"/>
    </w:lvl>
    <w:lvl w:ilvl="7">
      <w:isLgl w:val="false"/>
      <w:lvlJc w:val="left"/>
      <w:lvlText w:val="o"/>
      <w:numFmt w:val="decimal"/>
      <w:pPr>
        <w:pBdr/>
        <w:spacing/>
        <w:ind w:firstLine="0" w:left="0"/>
      </w:pPr>
      <w:rPr/>
      <w:start w:val="1"/>
      <w:suff w:val="tab"/>
    </w:lvl>
    <w:lvl w:ilvl="8">
      <w:isLgl w:val="false"/>
      <w:lvlJc w:val="left"/>
      <w:lvlText w:val="§"/>
      <w:numFmt w:val="decimal"/>
      <w:pPr>
        <w:pBdr/>
        <w:spacing/>
        <w:ind w:firstLine="0" w:left="0"/>
      </w:pPr>
      <w:rPr/>
      <w:start w:val="1"/>
      <w:suff w:val="tab"/>
    </w:lvl>
  </w:abstractNum>
  <w:abstractNum w:abstractNumId="5">
    <w:lvl w:ilvl="0">
      <w:isLgl w:val="false"/>
      <w:lvlJc w:val="left"/>
      <w:lvlText w:val="12.%1."/>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art w:val="1"/>
      <w:suff w:val="tab"/>
    </w:lvl>
    <w:lvl w:ilvl="1">
      <w:isLgl w:val="false"/>
      <w:lvlJc w:val="left"/>
      <w:lvlText w:val="o"/>
      <w:numFmt w:val="decimal"/>
      <w:pPr>
        <w:pBdr/>
        <w:spacing/>
        <w:ind w:firstLine="0" w:left="0"/>
      </w:pPr>
      <w:rPr/>
      <w:start w:val="1"/>
      <w:suff w:val="tab"/>
    </w:lvl>
    <w:lvl w:ilvl="2">
      <w:isLgl w:val="false"/>
      <w:lvlJc w:val="left"/>
      <w:lvlText w:val="§"/>
      <w:numFmt w:val="decimal"/>
      <w:pPr>
        <w:pBdr/>
        <w:spacing/>
        <w:ind w:firstLine="0" w:left="0"/>
      </w:pPr>
      <w:rPr/>
      <w:start w:val="1"/>
      <w:suff w:val="tab"/>
    </w:lvl>
    <w:lvl w:ilvl="3">
      <w:isLgl w:val="false"/>
      <w:lvlJc w:val="left"/>
      <w:lvlText w:val="·"/>
      <w:numFmt w:val="decimal"/>
      <w:pPr>
        <w:pBdr/>
        <w:spacing/>
        <w:ind w:firstLine="0" w:left="0"/>
      </w:pPr>
      <w:rPr/>
      <w:start w:val="1"/>
      <w:suff w:val="tab"/>
    </w:lvl>
    <w:lvl w:ilvl="4">
      <w:isLgl w:val="false"/>
      <w:lvlJc w:val="left"/>
      <w:lvlText w:val="o"/>
      <w:numFmt w:val="decimal"/>
      <w:pPr>
        <w:pBdr/>
        <w:spacing/>
        <w:ind w:firstLine="0" w:left="0"/>
      </w:pPr>
      <w:rPr/>
      <w:start w:val="1"/>
      <w:suff w:val="tab"/>
    </w:lvl>
    <w:lvl w:ilvl="5">
      <w:isLgl w:val="false"/>
      <w:lvlJc w:val="left"/>
      <w:lvlText w:val="§"/>
      <w:numFmt w:val="decimal"/>
      <w:pPr>
        <w:pBdr/>
        <w:spacing/>
        <w:ind w:firstLine="0" w:left="0"/>
      </w:pPr>
      <w:rPr/>
      <w:start w:val="1"/>
      <w:suff w:val="tab"/>
    </w:lvl>
    <w:lvl w:ilvl="6">
      <w:isLgl w:val="false"/>
      <w:lvlJc w:val="left"/>
      <w:lvlText w:val="·"/>
      <w:numFmt w:val="decimal"/>
      <w:pPr>
        <w:pBdr/>
        <w:spacing/>
        <w:ind w:firstLine="0" w:left="0"/>
      </w:pPr>
      <w:rPr/>
      <w:start w:val="1"/>
      <w:suff w:val="tab"/>
    </w:lvl>
    <w:lvl w:ilvl="7">
      <w:isLgl w:val="false"/>
      <w:lvlJc w:val="left"/>
      <w:lvlText w:val="o"/>
      <w:numFmt w:val="decimal"/>
      <w:pPr>
        <w:pBdr/>
        <w:spacing/>
        <w:ind w:firstLine="0" w:left="0"/>
      </w:pPr>
      <w:rPr/>
      <w:start w:val="1"/>
      <w:suff w:val="tab"/>
    </w:lvl>
    <w:lvl w:ilvl="8">
      <w:isLgl w:val="false"/>
      <w:lvlJc w:val="left"/>
      <w:lvlText w:val="§"/>
      <w:numFmt w:val="decimal"/>
      <w:pPr>
        <w:pBdr/>
        <w:spacing/>
        <w:ind w:firstLine="0" w:left="0"/>
      </w:pPr>
      <w:rPr/>
      <w:start w:val="1"/>
      <w:suff w:val="tab"/>
    </w:lvl>
  </w:abstractNum>
  <w:abstractNum w:abstractNumId="6">
    <w:lvl w:ilvl="0">
      <w:isLgl w:val="false"/>
      <w:lvlJc w:val="left"/>
      <w:lvlText w:val="-"/>
      <w:numFmt w:val="bullet"/>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uk-UA" w:eastAsia="uk-UA" w:bidi="uk-UA"/>
      </w:rPr>
      <w:start w:val="1"/>
      <w:suff w:val="tab"/>
    </w:lvl>
    <w:lvl w:ilvl="1">
      <w:isLgl w:val="false"/>
      <w:lvlJc w:val="left"/>
      <w:lvlText w:val="o"/>
      <w:numFmt w:val="decimal"/>
      <w:pPr>
        <w:pBdr/>
        <w:spacing/>
        <w:ind w:firstLine="0" w:left="0"/>
      </w:pPr>
      <w:rPr/>
      <w:start w:val="1"/>
      <w:suff w:val="tab"/>
    </w:lvl>
    <w:lvl w:ilvl="2">
      <w:isLgl w:val="false"/>
      <w:lvlJc w:val="left"/>
      <w:lvlText w:val="§"/>
      <w:numFmt w:val="decimal"/>
      <w:pPr>
        <w:pBdr/>
        <w:spacing/>
        <w:ind w:firstLine="0" w:left="0"/>
      </w:pPr>
      <w:rPr/>
      <w:start w:val="1"/>
      <w:suff w:val="tab"/>
    </w:lvl>
    <w:lvl w:ilvl="3">
      <w:isLgl w:val="false"/>
      <w:lvlJc w:val="left"/>
      <w:lvlText w:val="·"/>
      <w:numFmt w:val="decimal"/>
      <w:pPr>
        <w:pBdr/>
        <w:spacing/>
        <w:ind w:firstLine="0" w:left="0"/>
      </w:pPr>
      <w:rPr/>
      <w:start w:val="1"/>
      <w:suff w:val="tab"/>
    </w:lvl>
    <w:lvl w:ilvl="4">
      <w:isLgl w:val="false"/>
      <w:lvlJc w:val="left"/>
      <w:lvlText w:val="o"/>
      <w:numFmt w:val="decimal"/>
      <w:pPr>
        <w:pBdr/>
        <w:spacing/>
        <w:ind w:firstLine="0" w:left="0"/>
      </w:pPr>
      <w:rPr/>
      <w:start w:val="1"/>
      <w:suff w:val="tab"/>
    </w:lvl>
    <w:lvl w:ilvl="5">
      <w:isLgl w:val="false"/>
      <w:lvlJc w:val="left"/>
      <w:lvlText w:val="§"/>
      <w:numFmt w:val="decimal"/>
      <w:pPr>
        <w:pBdr/>
        <w:spacing/>
        <w:ind w:firstLine="0" w:left="0"/>
      </w:pPr>
      <w:rPr/>
      <w:start w:val="1"/>
      <w:suff w:val="tab"/>
    </w:lvl>
    <w:lvl w:ilvl="6">
      <w:isLgl w:val="false"/>
      <w:lvlJc w:val="left"/>
      <w:lvlText w:val="·"/>
      <w:numFmt w:val="decimal"/>
      <w:pPr>
        <w:pBdr/>
        <w:spacing/>
        <w:ind w:firstLine="0" w:left="0"/>
      </w:pPr>
      <w:rPr/>
      <w:start w:val="1"/>
      <w:suff w:val="tab"/>
    </w:lvl>
    <w:lvl w:ilvl="7">
      <w:isLgl w:val="false"/>
      <w:lvlJc w:val="left"/>
      <w:lvlText w:val="o"/>
      <w:numFmt w:val="decimal"/>
      <w:pPr>
        <w:pBdr/>
        <w:spacing/>
        <w:ind w:firstLine="0" w:left="0"/>
      </w:pPr>
      <w:rPr/>
      <w:start w:val="1"/>
      <w:suff w:val="tab"/>
    </w:lvl>
    <w:lvl w:ilvl="8">
      <w:isLgl w:val="false"/>
      <w:lvlJc w:val="left"/>
      <w:lvlText w:val="§"/>
      <w:numFmt w:val="decimal"/>
      <w:pPr>
        <w:pBdr/>
        <w:spacing/>
        <w:ind w:firstLine="0" w:left="0"/>
      </w:pPr>
      <w:rPr/>
      <w:start w:val="1"/>
      <w:suff w:val="tab"/>
    </w:lvl>
  </w:abstractNum>
  <w:abstractNum w:abstractNumId="7">
    <w:lvl w:ilvl="0">
      <w:isLgl w:val="false"/>
      <w:lvlJc w:val="left"/>
      <w:lvlText w:val="%1."/>
      <w:numFmt w:val="decimal"/>
      <w:pPr>
        <w:pBdr/>
        <w:spacing/>
        <w:ind w:firstLine="0" w:left="0"/>
      </w:pPr>
      <w:rPr>
        <w:rFonts w:ascii="Times New Roman" w:hAnsi="Times New Roman" w:eastAsia="Times New Roman" w:cs="Times New Roman"/>
        <w:b/>
        <w:bCs/>
        <w:i w:val="0"/>
        <w:iCs w:val="0"/>
        <w:smallCaps w:val="0"/>
        <w:strike w:val="0"/>
        <w:color w:val="000000"/>
        <w:spacing w:val="0"/>
        <w:position w:val="0"/>
        <w:sz w:val="24"/>
        <w:szCs w:val="24"/>
        <w:u w:val="none"/>
        <w:lang w:val="uk-UA" w:eastAsia="uk-UA" w:bidi="uk-UA"/>
      </w:rPr>
      <w:start w:val="1"/>
      <w:suff w:val="tab"/>
    </w:lvl>
    <w:lvl w:ilvl="1">
      <w:isLgl w:val="false"/>
      <w:lvlJc w:val="left"/>
      <w:lvlText w:val="%1.%2."/>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ru-RU" w:eastAsia="ru-RU" w:bidi="ru-RU"/>
      </w:rPr>
      <w:start w:val="1"/>
      <w:suff w:val="tab"/>
    </w:lvl>
    <w:lvl w:ilvl="2">
      <w:isLgl w:val="false"/>
      <w:lvlJc w:val="left"/>
      <w:lvlText w:val="%1.%2.%3."/>
      <w:numFmt w:val="decimal"/>
      <w:pPr>
        <w:pBdr/>
        <w:spacing/>
        <w:ind w:firstLine="0" w:left="0"/>
      </w:pPr>
      <w:rPr>
        <w:rFonts w:ascii="Times New Roman" w:hAnsi="Times New Roman" w:eastAsia="Times New Roman" w:cs="Times New Roman"/>
        <w:b w:val="0"/>
        <w:bCs w:val="0"/>
        <w:i w:val="0"/>
        <w:iCs w:val="0"/>
        <w:smallCaps w:val="0"/>
        <w:strike w:val="0"/>
        <w:color w:val="000000"/>
        <w:spacing w:val="0"/>
        <w:position w:val="0"/>
        <w:sz w:val="24"/>
        <w:szCs w:val="24"/>
        <w:u w:val="none"/>
        <w:lang w:val="uk-UA" w:eastAsia="uk-UA" w:bidi="uk-UA"/>
      </w:rPr>
      <w:start w:val="1"/>
      <w:suff w:val="tab"/>
    </w:lvl>
    <w:lvl w:ilvl="3">
      <w:isLgl w:val="false"/>
      <w:lvlJc w:val="left"/>
      <w:lvlText w:val="·"/>
      <w:numFmt w:val="decimal"/>
      <w:pPr>
        <w:pBdr/>
        <w:spacing/>
        <w:ind w:firstLine="0" w:left="0"/>
      </w:pPr>
      <w:rPr/>
      <w:start w:val="1"/>
      <w:suff w:val="tab"/>
    </w:lvl>
    <w:lvl w:ilvl="4">
      <w:isLgl w:val="false"/>
      <w:lvlJc w:val="left"/>
      <w:lvlText w:val="o"/>
      <w:numFmt w:val="decimal"/>
      <w:pPr>
        <w:pBdr/>
        <w:spacing/>
        <w:ind w:firstLine="0" w:left="0"/>
      </w:pPr>
      <w:rPr/>
      <w:start w:val="1"/>
      <w:suff w:val="tab"/>
    </w:lvl>
    <w:lvl w:ilvl="5">
      <w:isLgl w:val="false"/>
      <w:lvlJc w:val="left"/>
      <w:lvlText w:val="§"/>
      <w:numFmt w:val="decimal"/>
      <w:pPr>
        <w:pBdr/>
        <w:spacing/>
        <w:ind w:firstLine="0" w:left="0"/>
      </w:pPr>
      <w:rPr/>
      <w:start w:val="1"/>
      <w:suff w:val="tab"/>
    </w:lvl>
    <w:lvl w:ilvl="6">
      <w:isLgl w:val="false"/>
      <w:lvlJc w:val="left"/>
      <w:lvlText w:val="·"/>
      <w:numFmt w:val="decimal"/>
      <w:pPr>
        <w:pBdr/>
        <w:spacing/>
        <w:ind w:firstLine="0" w:left="0"/>
      </w:pPr>
      <w:rPr/>
      <w:start w:val="1"/>
      <w:suff w:val="tab"/>
    </w:lvl>
    <w:lvl w:ilvl="7">
      <w:isLgl w:val="false"/>
      <w:lvlJc w:val="left"/>
      <w:lvlText w:val="o"/>
      <w:numFmt w:val="decimal"/>
      <w:pPr>
        <w:pBdr/>
        <w:spacing/>
        <w:ind w:firstLine="0" w:left="0"/>
      </w:pPr>
      <w:rPr/>
      <w:start w:val="1"/>
      <w:suff w:val="tab"/>
    </w:lvl>
    <w:lvl w:ilvl="8">
      <w:isLgl w:val="false"/>
      <w:lvlJc w:val="left"/>
      <w:lvlText w:val="§"/>
      <w:numFmt w:val="decimal"/>
      <w:pPr>
        <w:pBdr/>
        <w:spacing/>
        <w:ind w:firstLine="0" w:left="0"/>
      </w:pPr>
      <w:rPr/>
      <w:start w:val="1"/>
      <w:suff w:val="tab"/>
    </w:lvl>
  </w:abstractNum>
  <w:abstractNum w:abstractNumId="8">
    <w:lvl w:ilvl="0">
      <w:isLgl w:val="false"/>
      <w:lvlJc w:val="left"/>
      <w:lvlText w:val="%1."/>
      <w:numFmt w:val="decimal"/>
      <w:pPr>
        <w:pBdr/>
        <w:spacing/>
        <w:ind w:hanging="360" w:left="720"/>
      </w:pPr>
      <w:rPr>
        <w:rFonts w:hint="default"/>
      </w:rPr>
      <w:start w:val="1"/>
      <w:suff w:val="tab"/>
    </w:lvl>
    <w:lvl w:ilvl="1">
      <w:isLgl w:val="false"/>
      <w:lvlJc w:val="left"/>
      <w:lvlText w:val="%2."/>
      <w:numFmt w:val="lowerLetter"/>
      <w:pPr>
        <w:pBdr/>
        <w:spacing/>
        <w:ind w:hanging="360" w:left="1440"/>
      </w:pPr>
      <w:rPr/>
      <w:start w:val="1"/>
      <w:suff w:val="tab"/>
    </w:lvl>
    <w:lvl w:ilvl="2">
      <w:isLgl w:val="false"/>
      <w:lvlJc w:val="right"/>
      <w:lvlText w:val="%3."/>
      <w:numFmt w:val="lowerRoman"/>
      <w:pPr>
        <w:pBdr/>
        <w:spacing/>
        <w:ind w:hanging="180" w:left="2160"/>
      </w:pPr>
      <w:rPr/>
      <w:start w:val="1"/>
      <w:suff w:val="tab"/>
    </w:lvl>
    <w:lvl w:ilvl="3">
      <w:isLgl w:val="false"/>
      <w:lvlJc w:val="left"/>
      <w:lvlText w:val="%4."/>
      <w:numFmt w:val="decimal"/>
      <w:pPr>
        <w:pBdr/>
        <w:spacing/>
        <w:ind w:hanging="360" w:left="2880"/>
      </w:pPr>
      <w:rPr/>
      <w:start w:val="1"/>
      <w:suff w:val="tab"/>
    </w:lvl>
    <w:lvl w:ilvl="4">
      <w:isLgl w:val="false"/>
      <w:lvlJc w:val="left"/>
      <w:lvlText w:val="%5."/>
      <w:numFmt w:val="lowerLetter"/>
      <w:pPr>
        <w:pBdr/>
        <w:spacing/>
        <w:ind w:hanging="360" w:left="3600"/>
      </w:pPr>
      <w:rPr/>
      <w:start w:val="1"/>
      <w:suff w:val="tab"/>
    </w:lvl>
    <w:lvl w:ilvl="5">
      <w:isLgl w:val="false"/>
      <w:lvlJc w:val="right"/>
      <w:lvlText w:val="%6."/>
      <w:numFmt w:val="lowerRoman"/>
      <w:pPr>
        <w:pBdr/>
        <w:spacing/>
        <w:ind w:hanging="180" w:left="4320"/>
      </w:pPr>
      <w:rPr/>
      <w:start w:val="1"/>
      <w:suff w:val="tab"/>
    </w:lvl>
    <w:lvl w:ilvl="6">
      <w:isLgl w:val="false"/>
      <w:lvlJc w:val="left"/>
      <w:lvlText w:val="%7."/>
      <w:numFmt w:val="decimal"/>
      <w:pPr>
        <w:pBdr/>
        <w:spacing/>
        <w:ind w:hanging="360" w:left="5040"/>
      </w:pPr>
      <w:rPr/>
      <w:start w:val="1"/>
      <w:suff w:val="tab"/>
    </w:lvl>
    <w:lvl w:ilvl="7">
      <w:isLgl w:val="false"/>
      <w:lvlJc w:val="left"/>
      <w:lvlText w:val="%8."/>
      <w:numFmt w:val="lowerLetter"/>
      <w:pPr>
        <w:pBdr/>
        <w:spacing/>
        <w:ind w:hanging="360" w:left="5760"/>
      </w:pPr>
      <w:rPr/>
      <w:start w:val="1"/>
      <w:suff w:val="tab"/>
    </w:lvl>
    <w:lvl w:ilvl="8">
      <w:isLgl w:val="false"/>
      <w:lvlJc w:val="right"/>
      <w:lvlText w:val="%9."/>
      <w:numFmt w:val="lowerRoman"/>
      <w:pPr>
        <w:pBdr/>
        <w:spacing/>
        <w:ind w:hanging="180" w:left="6480"/>
      </w:pPr>
      <w:rPr/>
      <w:start w:val="1"/>
      <w:suff w:val="tab"/>
    </w:lvl>
  </w:abstractNum>
  <w:num w:numId="1">
    <w:abstractNumId w:val="7"/>
    <w:lvlOverride w:ilvl="0">
      <w:startOverride w:val="1"/>
    </w:lvlOverride>
    <w:lvlOverride w:ilvl="1">
      <w:startOverride w:val="1"/>
    </w:lvlOverride>
    <w:lvlOverride w:ilvl="2">
      <w:startOverride w:val="1"/>
    </w:lvlOverride>
  </w:num>
  <w:num w:numId="2">
    <w:abstractNumId w:val="6"/>
  </w:num>
  <w:num w:numId="3">
    <w:abstractNumId w:val="4"/>
  </w:num>
  <w:num w:numId="4">
    <w:abstractNumId w:val="5"/>
    <w:lvlOverride w:ilvl="0">
      <w:startOverride w:val="1"/>
    </w:lvlOverride>
  </w:num>
  <w:num w:numId="5">
    <w:abstractNumId w:val="3"/>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uk-UA" w:eastAsia="uk-UA"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6">
    <w:name w:val="Heading 1 Char"/>
    <w:basedOn w:val="890"/>
    <w:link w:val="884"/>
    <w:uiPriority w:val="9"/>
    <w:pPr>
      <w:pBdr/>
      <w:spacing/>
      <w:ind/>
    </w:pPr>
    <w:rPr>
      <w:rFonts w:ascii="Arial" w:hAnsi="Arial" w:eastAsia="Arial" w:cs="Arial"/>
      <w:sz w:val="40"/>
      <w:szCs w:val="40"/>
    </w:rPr>
  </w:style>
  <w:style w:type="character" w:styleId="717">
    <w:name w:val="Heading 2 Char"/>
    <w:basedOn w:val="890"/>
    <w:link w:val="885"/>
    <w:uiPriority w:val="9"/>
    <w:pPr>
      <w:pBdr/>
      <w:spacing/>
      <w:ind/>
    </w:pPr>
    <w:rPr>
      <w:rFonts w:ascii="Arial" w:hAnsi="Arial" w:eastAsia="Arial" w:cs="Arial"/>
      <w:sz w:val="34"/>
    </w:rPr>
  </w:style>
  <w:style w:type="character" w:styleId="718">
    <w:name w:val="Heading 3 Char"/>
    <w:basedOn w:val="890"/>
    <w:link w:val="886"/>
    <w:uiPriority w:val="9"/>
    <w:pPr>
      <w:pBdr/>
      <w:spacing/>
      <w:ind/>
    </w:pPr>
    <w:rPr>
      <w:rFonts w:ascii="Arial" w:hAnsi="Arial" w:eastAsia="Arial" w:cs="Arial"/>
      <w:sz w:val="30"/>
      <w:szCs w:val="30"/>
    </w:rPr>
  </w:style>
  <w:style w:type="character" w:styleId="719">
    <w:name w:val="Heading 4 Char"/>
    <w:basedOn w:val="890"/>
    <w:link w:val="887"/>
    <w:uiPriority w:val="9"/>
    <w:pPr>
      <w:pBdr/>
      <w:spacing/>
      <w:ind/>
    </w:pPr>
    <w:rPr>
      <w:rFonts w:ascii="Arial" w:hAnsi="Arial" w:eastAsia="Arial" w:cs="Arial"/>
      <w:b/>
      <w:bCs/>
      <w:sz w:val="26"/>
      <w:szCs w:val="26"/>
    </w:rPr>
  </w:style>
  <w:style w:type="character" w:styleId="720">
    <w:name w:val="Heading 5 Char"/>
    <w:basedOn w:val="890"/>
    <w:link w:val="888"/>
    <w:uiPriority w:val="9"/>
    <w:pPr>
      <w:pBdr/>
      <w:spacing/>
      <w:ind/>
    </w:pPr>
    <w:rPr>
      <w:rFonts w:ascii="Arial" w:hAnsi="Arial" w:eastAsia="Arial" w:cs="Arial"/>
      <w:b/>
      <w:bCs/>
      <w:sz w:val="24"/>
      <w:szCs w:val="24"/>
    </w:rPr>
  </w:style>
  <w:style w:type="character" w:styleId="721">
    <w:name w:val="Heading 6 Char"/>
    <w:basedOn w:val="890"/>
    <w:link w:val="889"/>
    <w:uiPriority w:val="9"/>
    <w:pPr>
      <w:pBdr/>
      <w:spacing/>
      <w:ind/>
    </w:pPr>
    <w:rPr>
      <w:rFonts w:ascii="Arial" w:hAnsi="Arial" w:eastAsia="Arial" w:cs="Arial"/>
      <w:b/>
      <w:bCs/>
      <w:sz w:val="22"/>
      <w:szCs w:val="22"/>
    </w:rPr>
  </w:style>
  <w:style w:type="paragraph" w:styleId="722">
    <w:name w:val="Heading 7"/>
    <w:basedOn w:val="883"/>
    <w:next w:val="883"/>
    <w:link w:val="723"/>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723">
    <w:name w:val="Heading 7 Char"/>
    <w:basedOn w:val="890"/>
    <w:link w:val="722"/>
    <w:uiPriority w:val="9"/>
    <w:pPr>
      <w:pBdr/>
      <w:spacing/>
      <w:ind/>
    </w:pPr>
    <w:rPr>
      <w:rFonts w:ascii="Arial" w:hAnsi="Arial" w:eastAsia="Arial" w:cs="Arial"/>
      <w:b/>
      <w:bCs/>
      <w:i/>
      <w:iCs/>
      <w:sz w:val="22"/>
      <w:szCs w:val="22"/>
    </w:rPr>
  </w:style>
  <w:style w:type="paragraph" w:styleId="724">
    <w:name w:val="Heading 8"/>
    <w:basedOn w:val="883"/>
    <w:next w:val="883"/>
    <w:link w:val="725"/>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725">
    <w:name w:val="Heading 8 Char"/>
    <w:basedOn w:val="890"/>
    <w:link w:val="724"/>
    <w:uiPriority w:val="9"/>
    <w:pPr>
      <w:pBdr/>
      <w:spacing/>
      <w:ind/>
    </w:pPr>
    <w:rPr>
      <w:rFonts w:ascii="Arial" w:hAnsi="Arial" w:eastAsia="Arial" w:cs="Arial"/>
      <w:i/>
      <w:iCs/>
      <w:sz w:val="22"/>
      <w:szCs w:val="22"/>
    </w:rPr>
  </w:style>
  <w:style w:type="paragraph" w:styleId="726">
    <w:name w:val="Heading 9"/>
    <w:basedOn w:val="883"/>
    <w:next w:val="883"/>
    <w:link w:val="727"/>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27">
    <w:name w:val="Heading 9 Char"/>
    <w:basedOn w:val="890"/>
    <w:link w:val="726"/>
    <w:uiPriority w:val="9"/>
    <w:pPr>
      <w:pBdr/>
      <w:spacing/>
      <w:ind/>
    </w:pPr>
    <w:rPr>
      <w:rFonts w:ascii="Arial" w:hAnsi="Arial" w:eastAsia="Arial" w:cs="Arial"/>
      <w:i/>
      <w:iCs/>
      <w:sz w:val="21"/>
      <w:szCs w:val="21"/>
    </w:rPr>
  </w:style>
  <w:style w:type="paragraph" w:styleId="728">
    <w:name w:val="No Spacing"/>
    <w:uiPriority w:val="1"/>
    <w:qFormat/>
    <w:pPr>
      <w:pBdr/>
      <w:spacing w:after="0" w:before="0" w:line="240" w:lineRule="auto"/>
      <w:ind/>
    </w:pPr>
  </w:style>
  <w:style w:type="character" w:styleId="729">
    <w:name w:val="Title Char"/>
    <w:basedOn w:val="890"/>
    <w:link w:val="894"/>
    <w:uiPriority w:val="10"/>
    <w:pPr>
      <w:pBdr/>
      <w:spacing/>
      <w:ind/>
    </w:pPr>
    <w:rPr>
      <w:sz w:val="48"/>
      <w:szCs w:val="48"/>
    </w:rPr>
  </w:style>
  <w:style w:type="character" w:styleId="730">
    <w:name w:val="Subtitle Char"/>
    <w:basedOn w:val="890"/>
    <w:link w:val="895"/>
    <w:uiPriority w:val="11"/>
    <w:pPr>
      <w:pBdr/>
      <w:spacing/>
      <w:ind/>
    </w:pPr>
    <w:rPr>
      <w:sz w:val="24"/>
      <w:szCs w:val="24"/>
    </w:rPr>
  </w:style>
  <w:style w:type="paragraph" w:styleId="731">
    <w:name w:val="Quote"/>
    <w:basedOn w:val="883"/>
    <w:next w:val="883"/>
    <w:link w:val="732"/>
    <w:uiPriority w:val="29"/>
    <w:qFormat/>
    <w:pPr>
      <w:pBdr/>
      <w:spacing/>
      <w:ind w:right="720" w:left="720"/>
    </w:pPr>
    <w:rPr>
      <w:i/>
    </w:rPr>
  </w:style>
  <w:style w:type="character" w:styleId="732">
    <w:name w:val="Quote Char"/>
    <w:link w:val="731"/>
    <w:uiPriority w:val="29"/>
    <w:pPr>
      <w:pBdr/>
      <w:spacing/>
      <w:ind/>
    </w:pPr>
    <w:rPr>
      <w:i/>
    </w:rPr>
  </w:style>
  <w:style w:type="paragraph" w:styleId="733">
    <w:name w:val="Intense Quote"/>
    <w:basedOn w:val="883"/>
    <w:next w:val="883"/>
    <w:link w:val="73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34">
    <w:name w:val="Intense Quote Char"/>
    <w:link w:val="733"/>
    <w:uiPriority w:val="30"/>
    <w:pPr>
      <w:pBdr/>
      <w:spacing/>
      <w:ind/>
    </w:pPr>
    <w:rPr>
      <w:i/>
    </w:rPr>
  </w:style>
  <w:style w:type="paragraph" w:styleId="735">
    <w:name w:val="Header"/>
    <w:basedOn w:val="883"/>
    <w:link w:val="736"/>
    <w:uiPriority w:val="99"/>
    <w:unhideWhenUsed/>
    <w:pPr>
      <w:pBdr/>
      <w:tabs>
        <w:tab w:val="center" w:leader="none" w:pos="7143"/>
        <w:tab w:val="right" w:leader="none" w:pos="14287"/>
      </w:tabs>
      <w:spacing w:after="0" w:line="240" w:lineRule="auto"/>
      <w:ind/>
    </w:pPr>
  </w:style>
  <w:style w:type="character" w:styleId="736">
    <w:name w:val="Header Char"/>
    <w:basedOn w:val="890"/>
    <w:link w:val="735"/>
    <w:uiPriority w:val="99"/>
    <w:pPr>
      <w:pBdr/>
      <w:spacing/>
      <w:ind/>
    </w:pPr>
  </w:style>
  <w:style w:type="paragraph" w:styleId="737">
    <w:name w:val="Footer"/>
    <w:basedOn w:val="883"/>
    <w:link w:val="740"/>
    <w:uiPriority w:val="99"/>
    <w:unhideWhenUsed/>
    <w:pPr>
      <w:pBdr/>
      <w:tabs>
        <w:tab w:val="center" w:leader="none" w:pos="7143"/>
        <w:tab w:val="right" w:leader="none" w:pos="14287"/>
      </w:tabs>
      <w:spacing w:after="0" w:line="240" w:lineRule="auto"/>
      <w:ind/>
    </w:pPr>
  </w:style>
  <w:style w:type="character" w:styleId="738">
    <w:name w:val="Footer Char"/>
    <w:basedOn w:val="890"/>
    <w:link w:val="737"/>
    <w:uiPriority w:val="99"/>
    <w:pPr>
      <w:pBdr/>
      <w:spacing/>
      <w:ind/>
    </w:pPr>
  </w:style>
  <w:style w:type="paragraph" w:styleId="739">
    <w:name w:val="Caption"/>
    <w:basedOn w:val="883"/>
    <w:next w:val="883"/>
    <w:uiPriority w:val="35"/>
    <w:semiHidden/>
    <w:unhideWhenUsed/>
    <w:qFormat/>
    <w:pPr>
      <w:pBdr/>
      <w:spacing w:line="276" w:lineRule="auto"/>
      <w:ind/>
    </w:pPr>
    <w:rPr>
      <w:b/>
      <w:bCs/>
      <w:color w:val="4f81bd" w:themeColor="accent1"/>
      <w:sz w:val="18"/>
      <w:szCs w:val="18"/>
    </w:rPr>
  </w:style>
  <w:style w:type="character" w:styleId="740">
    <w:name w:val="Caption Char"/>
    <w:basedOn w:val="739"/>
    <w:link w:val="737"/>
    <w:uiPriority w:val="99"/>
    <w:pPr>
      <w:pBdr/>
      <w:spacing/>
      <w:ind/>
    </w:pPr>
  </w:style>
  <w:style w:type="table" w:styleId="741">
    <w:name w:val="Table Grid Light"/>
    <w:basedOn w:val="89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Plain Table 1"/>
    <w:basedOn w:val="89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Plain Table 2"/>
    <w:basedOn w:val="89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Plain Table 3"/>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Plain Table 4"/>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Plain Table 5"/>
    <w:basedOn w:val="89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1 Light"/>
    <w:basedOn w:val="89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1 Light - Accent 1"/>
    <w:basedOn w:val="89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1 Light - Accent 2"/>
    <w:basedOn w:val="89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1 Light - Accent 3"/>
    <w:basedOn w:val="89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1 Light - Accent 4"/>
    <w:basedOn w:val="89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1 Light - Accent 5"/>
    <w:basedOn w:val="89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1 Light - Accent 6"/>
    <w:basedOn w:val="89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2"/>
    <w:basedOn w:val="89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2 - Accent 1"/>
    <w:basedOn w:val="89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2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2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2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2 - Accent 5"/>
    <w:basedOn w:val="89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2 - Accent 6"/>
    <w:basedOn w:val="89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3"/>
    <w:basedOn w:val="89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3 - Accent 1"/>
    <w:basedOn w:val="89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3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3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3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Grid Table 3 - Accent 5"/>
    <w:basedOn w:val="89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Grid Table 3 - Accent 6"/>
    <w:basedOn w:val="89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Grid Table 4"/>
    <w:basedOn w:val="89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Grid Table 4 - Accent 1"/>
    <w:basedOn w:val="89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Grid Table 4 - Accent 2"/>
    <w:basedOn w:val="89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Grid Table 4 - Accent 3"/>
    <w:basedOn w:val="89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Grid Table 4 - Accent 4"/>
    <w:basedOn w:val="89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4 - Accent 5"/>
    <w:basedOn w:val="89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4 - Accent 6"/>
    <w:basedOn w:val="89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5 Dark"/>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5 Dark- Accent 1"/>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5 Dark - Accent 2"/>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5 Dark - Accent 3"/>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Grid Table 5 Dark- Accent 4"/>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Grid Table 5 Dark - Accent 5"/>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Grid Table 5 Dark - Accent 6"/>
    <w:basedOn w:val="89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Grid Table 6 Colorful"/>
    <w:basedOn w:val="89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83">
    <w:name w:val="Grid Table 6 Colorful - Accent 1"/>
    <w:basedOn w:val="89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84">
    <w:name w:val="Grid Table 6 Colorful - Accent 2"/>
    <w:basedOn w:val="89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85">
    <w:name w:val="Grid Table 6 Colorful - Accent 3"/>
    <w:basedOn w:val="89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86">
    <w:name w:val="Grid Table 6 Colorful - Accent 4"/>
    <w:basedOn w:val="89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87">
    <w:name w:val="Grid Table 6 Colorful - Accent 5"/>
    <w:basedOn w:val="89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8">
    <w:name w:val="Grid Table 6 Colorful - Accent 6"/>
    <w:basedOn w:val="89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89">
    <w:name w:val="Grid Table 7 Colorful"/>
    <w:basedOn w:val="89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Grid Table 7 Colorful - Accent 1"/>
    <w:basedOn w:val="89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Grid Table 7 Colorful - Accent 2"/>
    <w:basedOn w:val="89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Grid Table 7 Colorful - Accent 3"/>
    <w:basedOn w:val="89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Grid Table 7 Colorful - Accent 4"/>
    <w:basedOn w:val="89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Grid Table 7 Colorful - Accent 5"/>
    <w:basedOn w:val="89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Grid Table 7 Colorful - Accent 6"/>
    <w:basedOn w:val="89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1 Light"/>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1 Light - Accent 1"/>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1 Light - Accent 2"/>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1 Light - Accent 3"/>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1 Light - Accent 4"/>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1 Light - Accent 5"/>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1 Light - Accent 6"/>
    <w:basedOn w:val="89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2"/>
    <w:basedOn w:val="89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2 - Accent 1"/>
    <w:basedOn w:val="89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2 - Accent 2"/>
    <w:basedOn w:val="89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2 - Accent 3"/>
    <w:basedOn w:val="89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2 - Accent 4"/>
    <w:basedOn w:val="89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List Table 2 - Accent 5"/>
    <w:basedOn w:val="89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List Table 2 - Accent 6"/>
    <w:basedOn w:val="89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List Table 3"/>
    <w:basedOn w:val="89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List Table 3 - Accent 1"/>
    <w:basedOn w:val="89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List Table 3 - Accent 2"/>
    <w:basedOn w:val="89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List Table 3 - Accent 3"/>
    <w:basedOn w:val="89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List Table 3 - Accent 4"/>
    <w:basedOn w:val="89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3 - Accent 5"/>
    <w:basedOn w:val="89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3 - Accent 6"/>
    <w:basedOn w:val="89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4"/>
    <w:basedOn w:val="89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4 - Accent 1"/>
    <w:basedOn w:val="89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4 - Accent 2"/>
    <w:basedOn w:val="89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4 - Accent 3"/>
    <w:basedOn w:val="89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4 - Accent 4"/>
    <w:basedOn w:val="89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name w:val="List Table 4 - Accent 5"/>
    <w:basedOn w:val="89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name w:val="List Table 4 - Accent 6"/>
    <w:basedOn w:val="89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name w:val="List Table 5 Dark"/>
    <w:basedOn w:val="89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5">
    <w:name w:val="List Table 5 Dark - Accent 1"/>
    <w:basedOn w:val="89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6">
    <w:name w:val="List Table 5 Dark - Accent 2"/>
    <w:basedOn w:val="89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7">
    <w:name w:val="List Table 5 Dark - Accent 3"/>
    <w:basedOn w:val="89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8">
    <w:name w:val="List Table 5 Dark - Accent 4"/>
    <w:basedOn w:val="89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29">
    <w:name w:val="List Table 5 Dark - Accent 5"/>
    <w:basedOn w:val="89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0">
    <w:name w:val="List Table 5 Dark - Accent 6"/>
    <w:basedOn w:val="89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31">
    <w:name w:val="List Table 6 Colorful"/>
    <w:basedOn w:val="89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st Table 6 Colorful - Accent 1"/>
    <w:basedOn w:val="89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st Table 6 Colorful - Accent 2"/>
    <w:basedOn w:val="89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st Table 6 Colorful - Accent 3"/>
    <w:basedOn w:val="89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List Table 6 Colorful - Accent 4"/>
    <w:basedOn w:val="89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List Table 6 Colorful - Accent 5"/>
    <w:basedOn w:val="89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List Table 6 Colorful - Accent 6"/>
    <w:basedOn w:val="89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List Table 7 Colorful"/>
    <w:basedOn w:val="89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39">
    <w:name w:val="List Table 7 Colorful - Accent 1"/>
    <w:basedOn w:val="89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840">
    <w:name w:val="List Table 7 Colorful - Accent 2"/>
    <w:basedOn w:val="89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841">
    <w:name w:val="List Table 7 Colorful - Accent 3"/>
    <w:basedOn w:val="89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842">
    <w:name w:val="List Table 7 Colorful - Accent 4"/>
    <w:basedOn w:val="89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843">
    <w:name w:val="List Table 7 Colorful - Accent 5"/>
    <w:basedOn w:val="89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844">
    <w:name w:val="List Table 7 Colorful - Accent 6"/>
    <w:basedOn w:val="89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845">
    <w:name w:val="Lined - Accent"/>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Lined - Accent 1"/>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Lined - Accent 2"/>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Lined - Accent 3"/>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Lined - Accent 4"/>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name w:val="Lined - Accent 5"/>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name w:val="Lined - Accent 6"/>
    <w:basedOn w:val="89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name w:val="Bordered &amp; Lined - Accent"/>
    <w:basedOn w:val="89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Bordered &amp; Lined - Accent 1"/>
    <w:basedOn w:val="89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name w:val="Bordered &amp; Lined - Accent 2"/>
    <w:basedOn w:val="89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name w:val="Bordered &amp; Lined - Accent 3"/>
    <w:basedOn w:val="89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Bordered &amp; Lined - Accent 4"/>
    <w:basedOn w:val="89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name w:val="Bordered &amp; Lined - Accent 5"/>
    <w:basedOn w:val="89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name w:val="Bordered &amp; Lined - Accent 6"/>
    <w:basedOn w:val="89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name w:val="Bordered"/>
    <w:basedOn w:val="89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Bordered - Accent 1"/>
    <w:basedOn w:val="89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name w:val="Bordered - Accent 2"/>
    <w:basedOn w:val="89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name w:val="Bordered - Accent 3"/>
    <w:basedOn w:val="89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Bordered - Accent 4"/>
    <w:basedOn w:val="89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name w:val="Bordered - Accent 5"/>
    <w:basedOn w:val="89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name w:val="Bordered - Accent 6"/>
    <w:basedOn w:val="89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66">
    <w:name w:val="footnote text"/>
    <w:basedOn w:val="883"/>
    <w:link w:val="867"/>
    <w:uiPriority w:val="99"/>
    <w:semiHidden/>
    <w:unhideWhenUsed/>
    <w:pPr>
      <w:pBdr/>
      <w:spacing w:after="40" w:line="240" w:lineRule="auto"/>
      <w:ind/>
    </w:pPr>
    <w:rPr>
      <w:sz w:val="18"/>
    </w:rPr>
  </w:style>
  <w:style w:type="character" w:styleId="867">
    <w:name w:val="Footnote Text Char"/>
    <w:link w:val="866"/>
    <w:uiPriority w:val="99"/>
    <w:pPr>
      <w:pBdr/>
      <w:spacing/>
      <w:ind/>
    </w:pPr>
    <w:rPr>
      <w:sz w:val="18"/>
    </w:rPr>
  </w:style>
  <w:style w:type="character" w:styleId="868">
    <w:name w:val="footnote reference"/>
    <w:basedOn w:val="890"/>
    <w:uiPriority w:val="99"/>
    <w:unhideWhenUsed/>
    <w:pPr>
      <w:pBdr/>
      <w:spacing/>
      <w:ind/>
    </w:pPr>
    <w:rPr>
      <w:vertAlign w:val="superscript"/>
    </w:rPr>
  </w:style>
  <w:style w:type="paragraph" w:styleId="869">
    <w:name w:val="endnote text"/>
    <w:basedOn w:val="883"/>
    <w:link w:val="870"/>
    <w:uiPriority w:val="99"/>
    <w:semiHidden/>
    <w:unhideWhenUsed/>
    <w:pPr>
      <w:pBdr/>
      <w:spacing w:after="0" w:line="240" w:lineRule="auto"/>
      <w:ind/>
    </w:pPr>
    <w:rPr>
      <w:sz w:val="20"/>
    </w:rPr>
  </w:style>
  <w:style w:type="character" w:styleId="870">
    <w:name w:val="Endnote Text Char"/>
    <w:link w:val="869"/>
    <w:uiPriority w:val="99"/>
    <w:pPr>
      <w:pBdr/>
      <w:spacing/>
      <w:ind/>
    </w:pPr>
    <w:rPr>
      <w:sz w:val="20"/>
    </w:rPr>
  </w:style>
  <w:style w:type="character" w:styleId="871">
    <w:name w:val="endnote reference"/>
    <w:basedOn w:val="890"/>
    <w:uiPriority w:val="99"/>
    <w:semiHidden/>
    <w:unhideWhenUsed/>
    <w:pPr>
      <w:pBdr/>
      <w:spacing/>
      <w:ind/>
    </w:pPr>
    <w:rPr>
      <w:vertAlign w:val="superscript"/>
    </w:rPr>
  </w:style>
  <w:style w:type="paragraph" w:styleId="872">
    <w:name w:val="toc 1"/>
    <w:basedOn w:val="883"/>
    <w:next w:val="883"/>
    <w:uiPriority w:val="39"/>
    <w:unhideWhenUsed/>
    <w:pPr>
      <w:pBdr/>
      <w:spacing w:after="57"/>
      <w:ind w:right="0" w:firstLine="0" w:left="0"/>
    </w:pPr>
  </w:style>
  <w:style w:type="paragraph" w:styleId="873">
    <w:name w:val="toc 2"/>
    <w:basedOn w:val="883"/>
    <w:next w:val="883"/>
    <w:uiPriority w:val="39"/>
    <w:unhideWhenUsed/>
    <w:pPr>
      <w:pBdr/>
      <w:spacing w:after="57"/>
      <w:ind w:right="0" w:firstLine="0" w:left="283"/>
    </w:pPr>
  </w:style>
  <w:style w:type="paragraph" w:styleId="874">
    <w:name w:val="toc 3"/>
    <w:basedOn w:val="883"/>
    <w:next w:val="883"/>
    <w:uiPriority w:val="39"/>
    <w:unhideWhenUsed/>
    <w:pPr>
      <w:pBdr/>
      <w:spacing w:after="57"/>
      <w:ind w:right="0" w:firstLine="0" w:left="567"/>
    </w:pPr>
  </w:style>
  <w:style w:type="paragraph" w:styleId="875">
    <w:name w:val="toc 4"/>
    <w:basedOn w:val="883"/>
    <w:next w:val="883"/>
    <w:uiPriority w:val="39"/>
    <w:unhideWhenUsed/>
    <w:pPr>
      <w:pBdr/>
      <w:spacing w:after="57"/>
      <w:ind w:right="0" w:firstLine="0" w:left="850"/>
    </w:pPr>
  </w:style>
  <w:style w:type="paragraph" w:styleId="876">
    <w:name w:val="toc 5"/>
    <w:basedOn w:val="883"/>
    <w:next w:val="883"/>
    <w:uiPriority w:val="39"/>
    <w:unhideWhenUsed/>
    <w:pPr>
      <w:pBdr/>
      <w:spacing w:after="57"/>
      <w:ind w:right="0" w:firstLine="0" w:left="1134"/>
    </w:pPr>
  </w:style>
  <w:style w:type="paragraph" w:styleId="877">
    <w:name w:val="toc 6"/>
    <w:basedOn w:val="883"/>
    <w:next w:val="883"/>
    <w:uiPriority w:val="39"/>
    <w:unhideWhenUsed/>
    <w:pPr>
      <w:pBdr/>
      <w:spacing w:after="57"/>
      <w:ind w:right="0" w:firstLine="0" w:left="1417"/>
    </w:pPr>
  </w:style>
  <w:style w:type="paragraph" w:styleId="878">
    <w:name w:val="toc 7"/>
    <w:basedOn w:val="883"/>
    <w:next w:val="883"/>
    <w:uiPriority w:val="39"/>
    <w:unhideWhenUsed/>
    <w:pPr>
      <w:pBdr/>
      <w:spacing w:after="57"/>
      <w:ind w:right="0" w:firstLine="0" w:left="1701"/>
    </w:pPr>
  </w:style>
  <w:style w:type="paragraph" w:styleId="879">
    <w:name w:val="toc 8"/>
    <w:basedOn w:val="883"/>
    <w:next w:val="883"/>
    <w:uiPriority w:val="39"/>
    <w:unhideWhenUsed/>
    <w:pPr>
      <w:pBdr/>
      <w:spacing w:after="57"/>
      <w:ind w:right="0" w:firstLine="0" w:left="1984"/>
    </w:pPr>
  </w:style>
  <w:style w:type="paragraph" w:styleId="880">
    <w:name w:val="toc 9"/>
    <w:basedOn w:val="883"/>
    <w:next w:val="883"/>
    <w:uiPriority w:val="39"/>
    <w:unhideWhenUsed/>
    <w:pPr>
      <w:pBdr/>
      <w:spacing w:after="57"/>
      <w:ind w:right="0" w:firstLine="0" w:left="2268"/>
    </w:pPr>
  </w:style>
  <w:style w:type="paragraph" w:styleId="881">
    <w:name w:val="TOC Heading"/>
    <w:uiPriority w:val="39"/>
    <w:unhideWhenUsed/>
    <w:pPr>
      <w:pBdr/>
      <w:spacing/>
      <w:ind/>
    </w:pPr>
  </w:style>
  <w:style w:type="paragraph" w:styleId="882">
    <w:name w:val="table of figures"/>
    <w:basedOn w:val="883"/>
    <w:next w:val="883"/>
    <w:uiPriority w:val="99"/>
    <w:unhideWhenUsed/>
    <w:pPr>
      <w:pBdr/>
      <w:spacing w:after="0" w:afterAutospacing="0"/>
      <w:ind/>
    </w:pPr>
  </w:style>
  <w:style w:type="paragraph" w:styleId="883" w:default="1">
    <w:name w:val="Normal"/>
    <w:qFormat/>
    <w:pPr>
      <w:pBdr/>
      <w:spacing/>
      <w:ind/>
    </w:pPr>
  </w:style>
  <w:style w:type="paragraph" w:styleId="884">
    <w:name w:val="Heading 1"/>
    <w:basedOn w:val="883"/>
    <w:next w:val="883"/>
    <w:uiPriority w:val="9"/>
    <w:qFormat/>
    <w:pPr>
      <w:keepNext w:val="true"/>
      <w:pBdr/>
      <w:spacing w:after="60" w:before="240"/>
      <w:ind/>
      <w:outlineLvl w:val="0"/>
    </w:pPr>
    <w:rPr>
      <w:rFonts w:ascii="Arial" w:hAnsi="Arial" w:eastAsia="Arial" w:cs="Arial"/>
      <w:b/>
      <w:sz w:val="32"/>
      <w:szCs w:val="32"/>
    </w:rPr>
  </w:style>
  <w:style w:type="paragraph" w:styleId="885">
    <w:name w:val="Heading 2"/>
    <w:basedOn w:val="883"/>
    <w:next w:val="883"/>
    <w:uiPriority w:val="9"/>
    <w:semiHidden/>
    <w:unhideWhenUsed/>
    <w:qFormat/>
    <w:pPr>
      <w:keepNext w:val="true"/>
      <w:widowControl w:val="false"/>
      <w:pBdr/>
      <w:spacing/>
      <w:ind w:left="6663"/>
      <w:jc w:val="both"/>
      <w:outlineLvl w:val="1"/>
    </w:pPr>
  </w:style>
  <w:style w:type="paragraph" w:styleId="886">
    <w:name w:val="Heading 3"/>
    <w:basedOn w:val="883"/>
    <w:next w:val="883"/>
    <w:uiPriority w:val="9"/>
    <w:semiHidden/>
    <w:unhideWhenUsed/>
    <w:qFormat/>
    <w:pPr>
      <w:keepNext w:val="true"/>
      <w:pBdr/>
      <w:spacing w:after="60" w:before="240"/>
      <w:ind/>
      <w:outlineLvl w:val="2"/>
    </w:pPr>
    <w:rPr>
      <w:rFonts w:ascii="Arial" w:hAnsi="Arial" w:eastAsia="Arial" w:cs="Arial"/>
      <w:b/>
      <w:sz w:val="26"/>
      <w:szCs w:val="26"/>
    </w:rPr>
  </w:style>
  <w:style w:type="paragraph" w:styleId="887">
    <w:name w:val="Heading 4"/>
    <w:basedOn w:val="883"/>
    <w:next w:val="883"/>
    <w:uiPriority w:val="9"/>
    <w:semiHidden/>
    <w:unhideWhenUsed/>
    <w:qFormat/>
    <w:pPr>
      <w:keepNext w:val="true"/>
      <w:pBdr/>
      <w:spacing w:after="60" w:before="240"/>
      <w:ind/>
      <w:outlineLvl w:val="3"/>
    </w:pPr>
    <w:rPr>
      <w:b/>
      <w:sz w:val="28"/>
      <w:szCs w:val="28"/>
    </w:rPr>
  </w:style>
  <w:style w:type="paragraph" w:styleId="888">
    <w:name w:val="Heading 5"/>
    <w:basedOn w:val="883"/>
    <w:next w:val="883"/>
    <w:uiPriority w:val="9"/>
    <w:semiHidden/>
    <w:unhideWhenUsed/>
    <w:qFormat/>
    <w:pPr>
      <w:pBdr/>
      <w:spacing w:after="60" w:before="240"/>
      <w:ind/>
      <w:outlineLvl w:val="4"/>
    </w:pPr>
    <w:rPr>
      <w:b/>
      <w:i/>
      <w:sz w:val="26"/>
      <w:szCs w:val="26"/>
    </w:rPr>
  </w:style>
  <w:style w:type="paragraph" w:styleId="889">
    <w:name w:val="Heading 6"/>
    <w:basedOn w:val="883"/>
    <w:next w:val="883"/>
    <w:uiPriority w:val="9"/>
    <w:semiHidden/>
    <w:unhideWhenUsed/>
    <w:qFormat/>
    <w:pPr>
      <w:keepNext w:val="true"/>
      <w:pBdr/>
      <w:tabs>
        <w:tab w:val="left" w:leader="none" w:pos="1134"/>
        <w:tab w:val="left" w:leader="none" w:pos="1418"/>
      </w:tabs>
      <w:spacing/>
      <w:ind w:firstLine="840"/>
      <w:jc w:val="center"/>
      <w:outlineLvl w:val="5"/>
    </w:pPr>
    <w:rPr>
      <w:b/>
    </w:rPr>
  </w:style>
  <w:style w:type="character" w:styleId="890" w:default="1">
    <w:name w:val="Default Paragraph Font"/>
    <w:uiPriority w:val="1"/>
    <w:semiHidden/>
    <w:unhideWhenUsed/>
    <w:pPr>
      <w:pBdr/>
      <w:spacing/>
      <w:ind/>
    </w:pPr>
  </w:style>
  <w:style w:type="table" w:styleId="89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92" w:default="1">
    <w:name w:val="No List"/>
    <w:uiPriority w:val="99"/>
    <w:semiHidden/>
    <w:unhideWhenUsed/>
    <w:pPr>
      <w:pBdr/>
      <w:spacing/>
      <w:ind/>
    </w:pPr>
  </w:style>
  <w:style w:type="table" w:styleId="893" w:customStyle="1">
    <w:name w:val="Table Normal"/>
    <w:pPr>
      <w:pBdr/>
      <w:spacing/>
      <w:ind/>
    </w:pPr>
    <w:tblPr>
      <w:tblBorders/>
      <w:tblCellMar>
        <w:left w:w="0" w:type="dxa"/>
        <w:top w:w="0" w:type="dxa"/>
        <w:right w:w="0"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894">
    <w:name w:val="Title"/>
    <w:basedOn w:val="883"/>
    <w:next w:val="883"/>
    <w:uiPriority w:val="10"/>
    <w:qFormat/>
    <w:pPr>
      <w:pBdr/>
      <w:spacing/>
      <w:ind/>
      <w:jc w:val="center"/>
    </w:pPr>
    <w:rPr>
      <w:b/>
      <w:sz w:val="28"/>
      <w:szCs w:val="28"/>
    </w:rPr>
  </w:style>
  <w:style w:type="paragraph" w:styleId="895">
    <w:name w:val="Subtitle"/>
    <w:basedOn w:val="883"/>
    <w:next w:val="883"/>
    <w:uiPriority w:val="11"/>
    <w:qFormat/>
    <w:pPr>
      <w:pBdr/>
      <w:spacing w:after="200" w:line="276" w:lineRule="auto"/>
      <w:ind/>
    </w:pPr>
    <w:rPr>
      <w:rFonts w:ascii="Calibri" w:hAnsi="Calibri" w:eastAsia="Calibri" w:cs="Calibri"/>
      <w:color w:val="5a5a5a"/>
      <w:sz w:val="22"/>
      <w:szCs w:val="22"/>
    </w:rPr>
  </w:style>
  <w:style w:type="table" w:styleId="896" w:customStyle="1">
    <w:name w:val="StGen0"/>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StGen1"/>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customStyle="1">
    <w:name w:val="StGen2"/>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StGen3"/>
    <w:basedOn w:val="893"/>
    <w:pPr>
      <w:pBdr/>
      <w:spacing/>
      <w:ind/>
    </w:pPr>
    <w:tblPr>
      <w:tblStyleRowBandSize w:val="1"/>
      <w:tblStyleColBandSize w:val="1"/>
      <w:tblBorders/>
      <w:tblCellMar>
        <w:left w:w="115" w:type="dxa"/>
        <w:right w:w="115"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00" w:customStyle="1">
    <w:name w:val="Основной текст_"/>
    <w:basedOn w:val="890"/>
    <w:link w:val="901"/>
    <w:pPr>
      <w:pBdr/>
      <w:spacing/>
      <w:ind/>
    </w:pPr>
    <w:rPr>
      <w:shd w:val="clear" w:color="auto" w:fill="ffffff"/>
    </w:rPr>
  </w:style>
  <w:style w:type="paragraph" w:styleId="901" w:customStyle="1">
    <w:name w:val="Основной текст1"/>
    <w:basedOn w:val="883"/>
    <w:link w:val="900"/>
    <w:pPr>
      <w:widowControl w:val="false"/>
      <w:pBdr/>
      <w:shd w:val="clear" w:color="auto" w:fill="ffffff"/>
      <w:spacing/>
      <w:ind/>
    </w:pPr>
  </w:style>
  <w:style w:type="table" w:styleId="902">
    <w:name w:val="Table Grid"/>
    <w:basedOn w:val="891"/>
    <w:uiPriority w:val="39"/>
    <w:pPr>
      <w:pBdr/>
      <w:spacing/>
      <w:ind/>
    </w:pPr>
    <w:rPr>
      <w:rFonts w:ascii="Calibri" w:hAnsi="Calibri" w:eastAsia="Calibri"/>
      <w:sz w:val="22"/>
      <w:szCs w:val="22"/>
      <w:lang w:val="ru-RU"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03">
    <w:name w:val="Balloon Text"/>
    <w:basedOn w:val="883"/>
    <w:link w:val="904"/>
    <w:uiPriority w:val="99"/>
    <w:semiHidden/>
    <w:unhideWhenUsed/>
    <w:pPr>
      <w:pBdr/>
      <w:spacing/>
      <w:ind/>
    </w:pPr>
    <w:rPr>
      <w:rFonts w:ascii="Tahoma" w:hAnsi="Tahoma" w:cs="Tahoma"/>
      <w:sz w:val="16"/>
      <w:szCs w:val="16"/>
    </w:rPr>
  </w:style>
  <w:style w:type="character" w:styleId="904" w:customStyle="1">
    <w:name w:val="Текст выноски Знак"/>
    <w:basedOn w:val="890"/>
    <w:link w:val="903"/>
    <w:uiPriority w:val="99"/>
    <w:semiHidden/>
    <w:pPr>
      <w:pBdr/>
      <w:spacing/>
      <w:ind/>
    </w:pPr>
    <w:rPr>
      <w:rFonts w:ascii="Tahoma" w:hAnsi="Tahoma" w:cs="Tahoma"/>
      <w:sz w:val="16"/>
      <w:szCs w:val="16"/>
    </w:rPr>
  </w:style>
  <w:style w:type="character" w:styleId="905">
    <w:name w:val="Hyperlink"/>
    <w:basedOn w:val="890"/>
    <w:uiPriority w:val="99"/>
    <w:unhideWhenUsed/>
    <w:pPr>
      <w:pBdr/>
      <w:spacing/>
      <w:ind/>
    </w:pPr>
    <w:rPr>
      <w:color w:val="0000ff" w:themeColor="hyperlink"/>
      <w:u w:val="single"/>
    </w:rPr>
  </w:style>
  <w:style w:type="paragraph" w:styleId="906">
    <w:name w:val="List Paragraph"/>
    <w:basedOn w:val="883"/>
    <w:uiPriority w:val="34"/>
    <w:qFormat/>
    <w:pPr>
      <w:pBdr/>
      <w:spacing/>
      <w:ind w:left="720"/>
      <w:contextualSpacing w:val="true"/>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3"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6"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27" Type="http://schemas.openxmlformats.org/officeDocument/2006/relationships/hyperlink" Target="https://vytiah.mvs.gov.ua/app/landing" TargetMode="External"/><Relationship Id="rId28" Type="http://schemas.openxmlformats.org/officeDocument/2006/relationships/hyperlink" Target="https://vytiah.mvs.gov.ua/app/landing" TargetMode="External"/><Relationship Id="rId29" Type="http://schemas.openxmlformats.org/officeDocument/2006/relationships/hyperlink" Target="https://vytiah.mvs.gov.ua/app/landing" TargetMode="External"/><Relationship Id="rId30" Type="http://schemas.openxmlformats.org/officeDocument/2006/relationships/hyperlink" Target="https://zakon.rada.gov.ua/laws/show/922-19" TargetMode="External"/><Relationship Id="rId31" Type="http://schemas.openxmlformats.org/officeDocument/2006/relationships/hyperlink" Target="http://www.prozorro.gov.ua" TargetMode="External"/><Relationship Id="rId32"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42" Type="http://schemas.openxmlformats.org/officeDocument/2006/relationships/hyperlink" Target="https://ips.ligazakon.net/document/view/re34282?ed=2019_12_17&amp;an=34" TargetMode="External"/><Relationship Id="rId43" Type="http://schemas.openxmlformats.org/officeDocument/2006/relationships/hyperlink" Target="https://ips.ligazakon.net/document/view/re34282?ed=2019_12_17&amp;an=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Мазур</dc:creator>
  <cp:revision>13</cp:revision>
  <dcterms:created xsi:type="dcterms:W3CDTF">2023-12-03T19:34:00Z</dcterms:created>
  <dcterms:modified xsi:type="dcterms:W3CDTF">2023-12-06T10:22:49Z</dcterms:modified>
</cp:coreProperties>
</file>