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D" w:rsidRPr="00156963" w:rsidRDefault="00FB2F8D" w:rsidP="00156963">
      <w:pPr>
        <w:spacing w:after="0" w:line="240" w:lineRule="auto"/>
        <w:ind w:left="566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B2F8D" w:rsidRPr="00156963" w:rsidRDefault="00FB2F8D" w:rsidP="00156963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ДОДАТОК  2</w:t>
      </w:r>
    </w:p>
    <w:p w:rsidR="00FB2F8D" w:rsidRPr="00156963" w:rsidRDefault="00FB2F8D" w:rsidP="00156963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6963">
        <w:rPr>
          <w:rFonts w:ascii="Times New Roman" w:hAnsi="Times New Roman"/>
          <w:iCs/>
          <w:color w:val="000000"/>
          <w:sz w:val="24"/>
          <w:szCs w:val="24"/>
          <w:lang w:val="uk-UA"/>
        </w:rPr>
        <w:t>до тендерної документації</w:t>
      </w:r>
      <w:r w:rsidRPr="00156963">
        <w:rPr>
          <w:rFonts w:ascii="Times New Roman" w:hAnsi="Times New Roman"/>
          <w:color w:val="000000"/>
          <w:sz w:val="24"/>
          <w:szCs w:val="24"/>
          <w:lang w:val="uk-UA"/>
        </w:rPr>
        <w:t> </w:t>
      </w:r>
    </w:p>
    <w:p w:rsidR="00FB2F8D" w:rsidRPr="00156963" w:rsidRDefault="00FB2F8D" w:rsidP="001569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B2F8D" w:rsidRPr="00156963" w:rsidRDefault="00FB2F8D" w:rsidP="0015696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</w:p>
    <w:p w:rsidR="00C26353" w:rsidRPr="00156963" w:rsidRDefault="00FB2F8D" w:rsidP="0015696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 xml:space="preserve">ТЕХНІЧНА СПЕЦИФІКАЦІЯ </w:t>
      </w:r>
      <w:r w:rsidRPr="00156963">
        <w:rPr>
          <w:rFonts w:ascii="Times New Roman" w:hAnsi="Times New Roman"/>
          <w:b/>
          <w:i/>
          <w:sz w:val="24"/>
          <w:szCs w:val="24"/>
          <w:lang w:val="uk-UA"/>
        </w:rPr>
        <w:t>(ТЕХНІЧНІ ВИМОГИ)</w:t>
      </w:r>
    </w:p>
    <w:p w:rsidR="00D113C5" w:rsidRDefault="00FB2F8D" w:rsidP="00B133B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sz w:val="24"/>
          <w:szCs w:val="24"/>
          <w:lang w:val="uk-UA"/>
        </w:rPr>
        <w:t>Предмет закупівлі:</w:t>
      </w:r>
      <w:r w:rsidR="00C26353" w:rsidRPr="00B133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5A2C" w:rsidRPr="00805A2C">
        <w:rPr>
          <w:rFonts w:ascii="Times New Roman" w:hAnsi="Times New Roman"/>
          <w:b/>
          <w:sz w:val="24"/>
          <w:szCs w:val="24"/>
          <w:lang w:val="uk-UA"/>
        </w:rPr>
        <w:t>Клеї згідно ДК021:2015 код 24910000-6</w:t>
      </w:r>
      <w:r w:rsidR="00805A2C" w:rsidRPr="00805A2C">
        <w:rPr>
          <w:rFonts w:ascii="Times New Roman" w:hAnsi="Times New Roman"/>
          <w:b/>
          <w:sz w:val="24"/>
          <w:szCs w:val="24"/>
          <w:lang w:val="uk-UA"/>
        </w:rPr>
        <w:tab/>
        <w:t>Клеї.</w:t>
      </w:r>
    </w:p>
    <w:p w:rsidR="00D113C5" w:rsidRDefault="00D113C5" w:rsidP="00B133B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1181B" w:rsidRPr="00156963" w:rsidRDefault="00D113C5" w:rsidP="00B133B7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6134A5" w:rsidRPr="00156963">
        <w:rPr>
          <w:rFonts w:ascii="Times New Roman" w:hAnsi="Times New Roman"/>
          <w:i/>
          <w:sz w:val="24"/>
          <w:szCs w:val="24"/>
          <w:lang w:val="uk-UA"/>
        </w:rPr>
        <w:t>Таблиця 1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709"/>
        <w:gridCol w:w="851"/>
        <w:gridCol w:w="1559"/>
        <w:gridCol w:w="4111"/>
      </w:tblGrid>
      <w:tr w:rsidR="00805A2C" w:rsidRPr="00EF614A" w:rsidTr="00805A2C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п/</w:t>
            </w:r>
            <w:proofErr w:type="spellStart"/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товару/робіт/</w:t>
            </w:r>
          </w:p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Кіл-</w:t>
            </w:r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05A2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Країна виробника товару</w:t>
            </w:r>
          </w:p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Технічні, якісні та інші </w:t>
            </w:r>
          </w:p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характеристики </w:t>
            </w:r>
          </w:p>
          <w:p w:rsidR="00805A2C" w:rsidRPr="00444CFC" w:rsidRDefault="00805A2C" w:rsidP="000931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4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805A2C" w:rsidRPr="00EF614A" w:rsidTr="00805A2C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FB5C4B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C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Герметик </w:t>
            </w:r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редукторів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1D395E" w:rsidRDefault="00805A2C" w:rsidP="000931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95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LOCTITE SI 5910 CR300ML ENDE -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силіконовий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герметик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низької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міцності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призначений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гнучких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фланців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оброблені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верстаті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виливані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поверхні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металеві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пластикові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Є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тиксотропним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виключає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розтікання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продукту по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поверхні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ісля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нанесення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високі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показники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маслостійкості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макропереміщень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з'єднанні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продукт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полімеризується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вологості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запобігає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небажаному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витоку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корозії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місцях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з'єднань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герметичність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низький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тиск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досягається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ісля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фланців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хвилин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призначений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зазорів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 мм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глибину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затвердіння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об'ємі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ч) 2,75 мм.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Стандартне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штамповані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кришки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листового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металу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кришка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шестерні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іддон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картера).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Заповнення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пустот: 1.0 мм</w:t>
            </w:r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Колі</w:t>
            </w:r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Чорний</w:t>
            </w:r>
            <w:proofErr w:type="spellEnd"/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Міцність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зсув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лабораторії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: 1.2 Н/мм²</w:t>
            </w:r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Ступінь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екструзії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: 300.0 г/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хв</w:t>
            </w:r>
            <w:proofErr w:type="spellEnd"/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Субстрати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: метал, пластик</w:t>
            </w:r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Силікон</w:t>
            </w:r>
            <w:proofErr w:type="spellEnd"/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Швидкість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час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вулканізації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24.0 год. 2.75 мм                 </w:t>
            </w:r>
          </w:p>
          <w:p w:rsidR="00805A2C" w:rsidRPr="00805A2C" w:rsidRDefault="00805A2C" w:rsidP="0009317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Об'є</w:t>
            </w:r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: 300мл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(або еквівалент)</w:t>
            </w:r>
          </w:p>
        </w:tc>
      </w:tr>
      <w:tr w:rsidR="00805A2C" w:rsidRPr="002F32FE" w:rsidTr="00805A2C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9079CF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Клей-88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1D395E" w:rsidRDefault="00805A2C" w:rsidP="000931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95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A2C" w:rsidRDefault="00805A2C" w:rsidP="0009317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Універсальний контактний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поліхлоропреновий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клей "88" представляє собою розчин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поліхлоропренового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каучуку,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алкілфеноли-формальдегідних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смол, модифікатора, вулканізаторів в суміші етилацетату і бензину-розчинника.</w:t>
            </w:r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Клей 88 призначений для використання на виробництві, в будівництві і в побуті з метою приклеювання до металу таких матеріалів, як гума, скло, натуральна і штучна шкіра, різні полімерні матеріали, включаючи жорсткий і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пластіфіцірованія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ПВХ, тканину, дерево, картон, поролон і інші пористі і волокнисті матеріали, а також для склеювання зазначених матеріалів один з одним в будь-яких поєднаннях.                                                                                                                        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Основа: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 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 xml:space="preserve"> каучук.                                                                                                                   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 w:rsidRPr="008154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5464">
              <w:rPr>
                <w:rFonts w:ascii="Times New Roman" w:hAnsi="Times New Roman"/>
                <w:sz w:val="24"/>
                <w:szCs w:val="24"/>
              </w:rPr>
              <w:t>: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світло-бежевий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Країна-виробник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>: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Компонентність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>: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однокомпонентний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Консистенція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>: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 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 xml:space="preserve">гель.                                                                                                                   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Вологостійкість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>: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 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водостійкий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Час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схоплювання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>: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> </w:t>
            </w:r>
            <w:r w:rsidRPr="0081546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Час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склеювання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: 24 год.                                                                                                                                            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Об'є</w:t>
            </w:r>
            <w:proofErr w:type="gramStart"/>
            <w:r w:rsidRPr="0081546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15464">
              <w:rPr>
                <w:rFonts w:ascii="Times New Roman" w:hAnsi="Times New Roman"/>
                <w:sz w:val="24"/>
                <w:szCs w:val="24"/>
              </w:rPr>
              <w:t>: 350мл.</w:t>
            </w:r>
            <w:r w:rsidRPr="008154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: 12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місяців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 xml:space="preserve"> з дня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</w:rPr>
              <w:t>.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05A2C" w:rsidRPr="00815464" w:rsidRDefault="00805A2C" w:rsidP="00093176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(Або еквівалент)</w:t>
            </w:r>
          </w:p>
        </w:tc>
      </w:tr>
      <w:tr w:rsidR="00805A2C" w:rsidRPr="00EF614A" w:rsidTr="00805A2C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 для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інолеуму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ковроліну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1D395E" w:rsidRDefault="00805A2C" w:rsidP="0009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A2C" w:rsidRPr="00815464" w:rsidRDefault="00805A2C" w:rsidP="000931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 для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лінолеуму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ковроліну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BauGut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застосовується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міцного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склеювання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дерева, ДСП, ДВП,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інополістиролу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лінолеуму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паркету,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декоративних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профілів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плінтусів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керамічної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плитки, картону,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гіпсокартону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мінеральних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та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Склад: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водної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дисперсії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органічного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полімеру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Celanese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Chemicals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GmbH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Німеччина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наповнювача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протипліснявих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добавок.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Властивості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вологостійкий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еластичний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високу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адгезію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поверхонь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Клейовий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шов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високу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механічну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міцність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Клей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сумісний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цементом та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іщано-цементними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сумішами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проводяться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+10</w:t>
            </w:r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+30°С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вологості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50-70%. 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висихання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24-72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залежності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товщини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шару та умов сушки. Упаковка: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пластикові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відра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об’ємом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4,2 кг.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Зберігати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клей </w:t>
            </w:r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0°С.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місяці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фірмовій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герметичній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тарі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(Або еквівалент)</w:t>
            </w:r>
          </w:p>
        </w:tc>
      </w:tr>
      <w:tr w:rsidR="00805A2C" w:rsidRPr="00805A2C" w:rsidTr="00805A2C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 для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скла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1D395E" w:rsidRDefault="00805A2C" w:rsidP="000931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9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A2C" w:rsidRPr="00815464" w:rsidRDefault="00805A2C" w:rsidP="0009317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 для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скла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TEROSON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застосовується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вклейки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вітрових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задні</w:t>
            </w:r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ічних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стекол кузова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автомобіля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(легкового,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вантажного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кабіни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трактора/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автонавантажувача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рухомого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складу) в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автобусо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і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вагонобудуванні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A2C" w:rsidRDefault="00805A2C" w:rsidP="0009317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Характеристики:                                                                                                                                            Колір: чорний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Запах: слабкий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Консистенція пастоподібна, стійка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Щільність: близько 1,2 г/см3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Вміст твердих частинок: 100%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Характер затвердіння: полімеризується під впливом вологості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Час утворення плівки: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30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(Стандарт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50014 нормальний клімат 23°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50 % вологість)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Швидкість затвердіння: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4 мм/добу (Стандарт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50014 нормальний клімат 23°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50 % вологість)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Твердість по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Шору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53505: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50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Межа міцності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53504: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7,5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МПа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Величина напруги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53504: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2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МПа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 100% розтягуванні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Відносне подовження при розриві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53504: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350-500%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Межа міцності при розриві: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6,5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mm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Межа міцності при розтягуванні і зсуві: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2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МПа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через 24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50014 (міцність шару 5 мм, при 5-6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МПа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(вхідні дані) прилипання при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DIN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EN</w:t>
            </w:r>
            <w:r w:rsidRPr="008154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1465)                                                                                                                                                                                                                         Об'єм: 310мл. </w:t>
            </w:r>
          </w:p>
          <w:p w:rsidR="00805A2C" w:rsidRPr="00815464" w:rsidRDefault="00805A2C" w:rsidP="0009317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(Або еквівалент)</w:t>
            </w:r>
          </w:p>
        </w:tc>
      </w:tr>
      <w:tr w:rsidR="00805A2C" w:rsidRPr="00EF614A" w:rsidTr="00805A2C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Праймер</w:t>
            </w:r>
            <w:proofErr w:type="spellEnd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-активатор герметика для </w:t>
            </w:r>
            <w:proofErr w:type="spell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скла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546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1D395E" w:rsidRDefault="00805A2C" w:rsidP="000931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95E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2C" w:rsidRPr="00815464" w:rsidRDefault="00805A2C" w:rsidP="000931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A2C" w:rsidRDefault="00805A2C" w:rsidP="00093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Праймер-активатор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Terostat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8519 P чорний, високої плинності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праймер-активатор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основі поліуретану. Містить розчинник. Продукт відрізняється хорошою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покриваємою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здатністю і високою стійкістю до ультрафіолету, не містить хлорованих вуглеводнів або сполук ароматичного ряду.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Terostat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8519 P так само може бути використаний в якості захисту від корозії невеликих пошкоджень кузова. 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Terostat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8519 P використовується в якості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праймера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для поліуретанових клеїв-герметиків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Teroson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для поліпшення адгезії при прямому вклеюванні на склі та керамічному покритті скла; в якості активатора для стекол з поліуретановим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преднанесенним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шаром і для активації залишкового шару старого клейового шва; </w:t>
            </w:r>
            <w:proofErr w:type="spellStart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>праймер-активатор</w:t>
            </w:r>
            <w:proofErr w:type="spellEnd"/>
            <w:r w:rsidRPr="00815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застосовується для поліпшення адгезії поліуретанових клеїв-герметиків на склі, різних пластиках і металах. Об'єм: 10мл</w:t>
            </w:r>
          </w:p>
          <w:p w:rsidR="00805A2C" w:rsidRPr="00815464" w:rsidRDefault="00805A2C" w:rsidP="000931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(Або еквівалент)</w:t>
            </w:r>
            <w:bookmarkStart w:id="0" w:name="_GoBack"/>
            <w:bookmarkEnd w:id="0"/>
          </w:p>
        </w:tc>
      </w:tr>
    </w:tbl>
    <w:p w:rsidR="00C26353" w:rsidRPr="00156963" w:rsidRDefault="00C26353" w:rsidP="00156963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6353" w:rsidRPr="00B56A3B" w:rsidRDefault="00C26353" w:rsidP="00B56A3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6A3B">
        <w:rPr>
          <w:rFonts w:ascii="Times New Roman" w:hAnsi="Times New Roman"/>
          <w:sz w:val="24"/>
          <w:szCs w:val="24"/>
          <w:lang w:val="uk-UA"/>
        </w:rPr>
        <w:t>Якщо Учасником пропонується еквівалент товару до того, що вимагається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Замовником, додатково у складі пропозиції Учасник надає таблицю, складену в довільні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формі, яка у порівняльному вигляді містить відомості щодо основних технічних та якісних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характеристик товару, що вимагається Замовником до основних технічних та якісних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характеристик еквівалентного товару, що пропонується Учасником. При цьому якість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запропонованого еквіваленту товару має відповідати якості, що заявлена у технічній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специфікації Замовника. Таблиця повинна містити точну назву товару, яка пропонується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учасником. У випадку якщо учасником буде зазначено назву товару, яка буде містити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 xml:space="preserve">словосполучення «або еквівалент» (наприклад, автомобіль </w:t>
      </w:r>
      <w:proofErr w:type="spellStart"/>
      <w:r w:rsidRPr="00B56A3B">
        <w:rPr>
          <w:rFonts w:ascii="Times New Roman" w:hAnsi="Times New Roman"/>
          <w:sz w:val="24"/>
          <w:szCs w:val="24"/>
          <w:lang w:val="uk-UA"/>
        </w:rPr>
        <w:t>Renault</w:t>
      </w:r>
      <w:proofErr w:type="spellEnd"/>
      <w:r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56A3B">
        <w:rPr>
          <w:rFonts w:ascii="Times New Roman" w:hAnsi="Times New Roman"/>
          <w:sz w:val="24"/>
          <w:szCs w:val="24"/>
          <w:lang w:val="uk-UA"/>
        </w:rPr>
        <w:t>Duster</w:t>
      </w:r>
      <w:proofErr w:type="spellEnd"/>
      <w:r w:rsidRPr="00B56A3B">
        <w:rPr>
          <w:rFonts w:ascii="Times New Roman" w:hAnsi="Times New Roman"/>
          <w:sz w:val="24"/>
          <w:szCs w:val="24"/>
          <w:lang w:val="uk-UA"/>
        </w:rPr>
        <w:t xml:space="preserve"> або еквівалент),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пропозицію такого учасника буде відхилено як таку, що не відповідає умовам технічної</w:t>
      </w:r>
      <w:r w:rsidR="00BF250E" w:rsidRPr="00B56A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6A3B">
        <w:rPr>
          <w:rFonts w:ascii="Times New Roman" w:hAnsi="Times New Roman"/>
          <w:sz w:val="24"/>
          <w:szCs w:val="24"/>
          <w:lang w:val="uk-UA"/>
        </w:rPr>
        <w:t>специфікації та іншим вимогам щодо предмета закупівлі тендерної документації.</w:t>
      </w:r>
    </w:p>
    <w:p w:rsidR="00C26353" w:rsidRPr="00B56A3B" w:rsidRDefault="00C26353" w:rsidP="00B56A3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4578" w:rsidRPr="00156963" w:rsidRDefault="00474578" w:rsidP="00156963">
      <w:pPr>
        <w:spacing w:after="0" w:line="240" w:lineRule="auto"/>
        <w:ind w:left="-10" w:firstLine="54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</w:pPr>
      <w:r w:rsidRPr="00156963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1.</w:t>
      </w:r>
      <w:r w:rsidRPr="00156963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 w:rsidRPr="00156963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8800E0" w:rsidRPr="00156963" w:rsidRDefault="00474578" w:rsidP="001569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56963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2.</w:t>
      </w:r>
      <w:r w:rsidRPr="00156963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</w:t>
      </w:r>
      <w:r w:rsidR="008800E0" w:rsidRPr="00156963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>Учасник гарантує, що п</w:t>
      </w:r>
      <w:r w:rsidR="008800E0" w:rsidRPr="00156963">
        <w:rPr>
          <w:rFonts w:ascii="Times New Roman" w:hAnsi="Times New Roman"/>
          <w:sz w:val="24"/>
          <w:szCs w:val="24"/>
          <w:lang w:val="uk-UA"/>
        </w:rPr>
        <w:t xml:space="preserve">редмет закупівлі (продукція, тара, пакування, транспортування) </w:t>
      </w:r>
      <w:r w:rsidR="008800E0" w:rsidRPr="00156963">
        <w:rPr>
          <w:rStyle w:val="a4"/>
          <w:rFonts w:ascii="Times New Roman" w:hAnsi="Times New Roman"/>
          <w:i w:val="0"/>
          <w:sz w:val="24"/>
          <w:szCs w:val="24"/>
          <w:lang w:val="uk-UA"/>
        </w:rPr>
        <w:t>не</w:t>
      </w:r>
      <w:r w:rsidR="008800E0" w:rsidRPr="00156963">
        <w:rPr>
          <w:rStyle w:val="a4"/>
          <w:rFonts w:ascii="Times New Roman" w:hAnsi="Times New Roman"/>
          <w:sz w:val="24"/>
          <w:szCs w:val="24"/>
          <w:lang w:val="uk-UA"/>
        </w:rPr>
        <w:t xml:space="preserve"> </w:t>
      </w:r>
      <w:r w:rsidR="008800E0" w:rsidRPr="00156963">
        <w:rPr>
          <w:rFonts w:ascii="Times New Roman" w:hAnsi="Times New Roman"/>
          <w:sz w:val="24"/>
          <w:szCs w:val="24"/>
          <w:lang w:val="uk-UA"/>
        </w:rPr>
        <w:t>завдаватиме шкоди навколишньому середовищу та передбачатиме заходи щодо захисту довкілля.</w:t>
      </w:r>
    </w:p>
    <w:p w:rsidR="00474578" w:rsidRPr="00156963" w:rsidRDefault="00474578" w:rsidP="00156963">
      <w:pPr>
        <w:spacing w:after="0" w:line="240" w:lineRule="auto"/>
        <w:ind w:left="-10" w:firstLine="549"/>
        <w:jc w:val="both"/>
        <w:rPr>
          <w:rFonts w:ascii="Times New Roman" w:hAnsi="Times New Roman"/>
          <w:sz w:val="24"/>
          <w:szCs w:val="24"/>
          <w:lang w:val="uk-UA"/>
        </w:rPr>
      </w:pPr>
      <w:r w:rsidRPr="00156963">
        <w:rPr>
          <w:rFonts w:ascii="Times New Roman" w:eastAsia="Times New Roman" w:hAnsi="Times New Roman"/>
          <w:b/>
          <w:iCs/>
          <w:snapToGrid w:val="0"/>
          <w:sz w:val="24"/>
          <w:szCs w:val="24"/>
          <w:lang w:val="uk-UA"/>
        </w:rPr>
        <w:t>3.</w:t>
      </w:r>
      <w:r w:rsidRPr="00156963">
        <w:rPr>
          <w:rFonts w:ascii="Times New Roman" w:eastAsia="Times New Roman" w:hAnsi="Times New Roman"/>
          <w:iCs/>
          <w:snapToGrid w:val="0"/>
          <w:sz w:val="24"/>
          <w:szCs w:val="24"/>
          <w:lang w:val="uk-UA"/>
        </w:rPr>
        <w:t xml:space="preserve"> </w:t>
      </w:r>
      <w:r w:rsidR="001F457A" w:rsidRPr="00156963">
        <w:rPr>
          <w:rFonts w:ascii="Times New Roman" w:hAnsi="Times New Roman"/>
          <w:sz w:val="24"/>
          <w:szCs w:val="24"/>
          <w:lang w:val="uk-UA"/>
        </w:rPr>
        <w:t>Товар повинен бути новим</w:t>
      </w:r>
      <w:r w:rsidRPr="00156963">
        <w:rPr>
          <w:rFonts w:ascii="Times New Roman" w:eastAsia="Tahoma" w:hAnsi="Times New Roman"/>
          <w:bCs/>
          <w:color w:val="000000"/>
          <w:sz w:val="24"/>
          <w:szCs w:val="24"/>
          <w:lang w:val="uk-UA"/>
        </w:rPr>
        <w:t>, таким, що не був у використані</w:t>
      </w:r>
      <w:r w:rsidR="00557C41" w:rsidRPr="00156963">
        <w:rPr>
          <w:rFonts w:ascii="Times New Roman" w:eastAsia="Tahoma" w:hAnsi="Times New Roman"/>
          <w:bCs/>
          <w:color w:val="000000"/>
          <w:sz w:val="24"/>
          <w:szCs w:val="24"/>
          <w:lang w:val="uk-UA"/>
        </w:rPr>
        <w:t>.</w:t>
      </w:r>
      <w:r w:rsidRPr="00156963">
        <w:rPr>
          <w:rFonts w:ascii="Times New Roman" w:eastAsia="Tahoma" w:hAnsi="Times New Roman"/>
          <w:bCs/>
          <w:color w:val="000000"/>
          <w:sz w:val="24"/>
          <w:szCs w:val="24"/>
          <w:lang w:val="uk-UA"/>
        </w:rPr>
        <w:t>.</w:t>
      </w:r>
    </w:p>
    <w:p w:rsidR="001F457A" w:rsidRDefault="00557C41" w:rsidP="001569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56963">
        <w:rPr>
          <w:rStyle w:val="hps"/>
          <w:rFonts w:ascii="Times New Roman" w:hAnsi="Times New Roman"/>
          <w:b/>
          <w:color w:val="222222"/>
          <w:sz w:val="24"/>
          <w:szCs w:val="24"/>
          <w:lang w:val="uk-UA"/>
        </w:rPr>
        <w:t>4</w:t>
      </w:r>
      <w:r w:rsidR="001F457A" w:rsidRPr="00156963">
        <w:rPr>
          <w:rStyle w:val="hps"/>
          <w:rFonts w:ascii="Times New Roman" w:hAnsi="Times New Roman"/>
          <w:b/>
          <w:color w:val="222222"/>
          <w:sz w:val="24"/>
          <w:szCs w:val="24"/>
        </w:rPr>
        <w:t>.</w:t>
      </w:r>
      <w:r w:rsidR="001F457A" w:rsidRPr="00156963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="001F457A" w:rsidRPr="00156963">
        <w:rPr>
          <w:rFonts w:ascii="Times New Roman" w:hAnsi="Times New Roman"/>
          <w:sz w:val="24"/>
          <w:szCs w:val="24"/>
          <w:lang w:val="uk-UA"/>
        </w:rPr>
        <w:t>У разі надання еквіваленту (товару з аналогічними технічними та якісними характеристиками) учасник у складі пропозиції надає документ (лист) з детальними технічними характеристиками запропонованого еквіваленту.</w:t>
      </w:r>
    </w:p>
    <w:p w:rsidR="00ED3CA0" w:rsidRPr="00156963" w:rsidRDefault="00ED3CA0" w:rsidP="001569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D3CA0">
        <w:rPr>
          <w:rFonts w:ascii="Times New Roman" w:hAnsi="Times New Roman"/>
          <w:b/>
          <w:sz w:val="24"/>
          <w:szCs w:val="24"/>
          <w:lang w:val="uk-UA"/>
        </w:rPr>
        <w:lastRenderedPageBreak/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eastAsia="Tahoma" w:hAnsi="Times New Roman"/>
          <w:bCs/>
          <w:color w:val="000000"/>
          <w:sz w:val="24"/>
          <w:szCs w:val="24"/>
          <w:lang w:val="uk-UA"/>
        </w:rPr>
        <w:t>За потребою підтвердити локалізацію товару</w:t>
      </w:r>
    </w:p>
    <w:p w:rsidR="0051181B" w:rsidRPr="00156963" w:rsidRDefault="0051181B" w:rsidP="00BF250E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Обґрунтування необхідності закупівлі даного виду товару :</w:t>
      </w:r>
    </w:p>
    <w:p w:rsidR="0051181B" w:rsidRPr="00156963" w:rsidRDefault="0051181B" w:rsidP="00BF250E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FB2F8D" w:rsidRPr="00156963" w:rsidRDefault="00FB2F8D" w:rsidP="0015696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i/>
          <w:sz w:val="24"/>
          <w:szCs w:val="24"/>
          <w:lang w:val="uk-UA"/>
        </w:rPr>
        <w:t>Увага!!!</w:t>
      </w:r>
    </w:p>
    <w:p w:rsidR="00FB2F8D" w:rsidRPr="00156963" w:rsidRDefault="00FB2F8D" w:rsidP="00156963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5696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15696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5696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156963">
        <w:rPr>
          <w:rFonts w:ascii="Times New Roman" w:hAnsi="Times New Roman"/>
          <w:b/>
          <w:bCs/>
          <w:sz w:val="24"/>
          <w:szCs w:val="24"/>
          <w:lang w:val="uk-UA"/>
        </w:rPr>
        <w:t>поставки товару, у</w:t>
      </w:r>
      <w:r w:rsidRPr="0015696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відповідності до вимог, визначених згідно з умовами тендерної документації.</w:t>
      </w:r>
    </w:p>
    <w:p w:rsidR="00FB2F8D" w:rsidRPr="00156963" w:rsidRDefault="00FB2F8D" w:rsidP="00156963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B2F8D" w:rsidRPr="00156963" w:rsidRDefault="00FB2F8D" w:rsidP="00156963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B2F8D" w:rsidRPr="00156963" w:rsidSect="00E95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EFF"/>
    <w:multiLevelType w:val="hybridMultilevel"/>
    <w:tmpl w:val="BCD6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A65FC"/>
    <w:multiLevelType w:val="hybridMultilevel"/>
    <w:tmpl w:val="6C2EA78A"/>
    <w:lvl w:ilvl="0" w:tplc="D3784F58">
      <w:start w:val="40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EE413E"/>
    <w:multiLevelType w:val="hybridMultilevel"/>
    <w:tmpl w:val="5ADA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04B6"/>
    <w:multiLevelType w:val="hybridMultilevel"/>
    <w:tmpl w:val="F8CC4F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13124"/>
    <w:multiLevelType w:val="hybridMultilevel"/>
    <w:tmpl w:val="CDA6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71F3"/>
    <w:multiLevelType w:val="multilevel"/>
    <w:tmpl w:val="94F86BF2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78CC73A3"/>
    <w:multiLevelType w:val="hybridMultilevel"/>
    <w:tmpl w:val="30104BFA"/>
    <w:lvl w:ilvl="0" w:tplc="4986FBC4">
      <w:start w:val="1"/>
      <w:numFmt w:val="decimal"/>
      <w:lvlText w:val="%1."/>
      <w:lvlJc w:val="left"/>
      <w:pPr>
        <w:ind w:left="58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04A"/>
    <w:rsid w:val="00000055"/>
    <w:rsid w:val="0002702E"/>
    <w:rsid w:val="00041245"/>
    <w:rsid w:val="00080DC3"/>
    <w:rsid w:val="000E3268"/>
    <w:rsid w:val="00130B2E"/>
    <w:rsid w:val="00156963"/>
    <w:rsid w:val="001868ED"/>
    <w:rsid w:val="00190F4A"/>
    <w:rsid w:val="001A19DA"/>
    <w:rsid w:val="001F07D5"/>
    <w:rsid w:val="001F33C9"/>
    <w:rsid w:val="001F457A"/>
    <w:rsid w:val="002652D5"/>
    <w:rsid w:val="002A1C30"/>
    <w:rsid w:val="002D5031"/>
    <w:rsid w:val="0033025C"/>
    <w:rsid w:val="00342DEC"/>
    <w:rsid w:val="00354569"/>
    <w:rsid w:val="00355D76"/>
    <w:rsid w:val="00381277"/>
    <w:rsid w:val="00390046"/>
    <w:rsid w:val="00390AA3"/>
    <w:rsid w:val="0039708C"/>
    <w:rsid w:val="00425425"/>
    <w:rsid w:val="00425EC5"/>
    <w:rsid w:val="004436EF"/>
    <w:rsid w:val="004438EE"/>
    <w:rsid w:val="00474578"/>
    <w:rsid w:val="004A45C3"/>
    <w:rsid w:val="004B1BB6"/>
    <w:rsid w:val="004F6370"/>
    <w:rsid w:val="0051181B"/>
    <w:rsid w:val="00537AA3"/>
    <w:rsid w:val="00547F64"/>
    <w:rsid w:val="00557C41"/>
    <w:rsid w:val="00560164"/>
    <w:rsid w:val="00566F5A"/>
    <w:rsid w:val="005903E8"/>
    <w:rsid w:val="0059797C"/>
    <w:rsid w:val="005D0D7A"/>
    <w:rsid w:val="006134A5"/>
    <w:rsid w:val="006160DD"/>
    <w:rsid w:val="00627B98"/>
    <w:rsid w:val="00642DD5"/>
    <w:rsid w:val="006526B0"/>
    <w:rsid w:val="0066282E"/>
    <w:rsid w:val="00680CD7"/>
    <w:rsid w:val="006935DF"/>
    <w:rsid w:val="006C2E27"/>
    <w:rsid w:val="006C7C97"/>
    <w:rsid w:val="006E1290"/>
    <w:rsid w:val="006E7CED"/>
    <w:rsid w:val="00713E74"/>
    <w:rsid w:val="00720F69"/>
    <w:rsid w:val="00727F3E"/>
    <w:rsid w:val="0075135A"/>
    <w:rsid w:val="007559DB"/>
    <w:rsid w:val="0077266D"/>
    <w:rsid w:val="00780C3E"/>
    <w:rsid w:val="00787DAE"/>
    <w:rsid w:val="007A7B34"/>
    <w:rsid w:val="00805A2C"/>
    <w:rsid w:val="00807684"/>
    <w:rsid w:val="00815F5F"/>
    <w:rsid w:val="008164B5"/>
    <w:rsid w:val="0082427B"/>
    <w:rsid w:val="00825037"/>
    <w:rsid w:val="0082624B"/>
    <w:rsid w:val="00857036"/>
    <w:rsid w:val="00860FD5"/>
    <w:rsid w:val="00864DAF"/>
    <w:rsid w:val="008659B9"/>
    <w:rsid w:val="008770D7"/>
    <w:rsid w:val="008800E0"/>
    <w:rsid w:val="008D7E08"/>
    <w:rsid w:val="00942076"/>
    <w:rsid w:val="00946731"/>
    <w:rsid w:val="00966798"/>
    <w:rsid w:val="009947AD"/>
    <w:rsid w:val="009D6CF8"/>
    <w:rsid w:val="00A21051"/>
    <w:rsid w:val="00A32256"/>
    <w:rsid w:val="00A35624"/>
    <w:rsid w:val="00A46ECE"/>
    <w:rsid w:val="00A541EF"/>
    <w:rsid w:val="00A6031E"/>
    <w:rsid w:val="00A6749D"/>
    <w:rsid w:val="00AC5936"/>
    <w:rsid w:val="00B133B7"/>
    <w:rsid w:val="00B2477D"/>
    <w:rsid w:val="00B37421"/>
    <w:rsid w:val="00B45677"/>
    <w:rsid w:val="00B50AA8"/>
    <w:rsid w:val="00B56A3B"/>
    <w:rsid w:val="00B61E05"/>
    <w:rsid w:val="00BB0D85"/>
    <w:rsid w:val="00BD567C"/>
    <w:rsid w:val="00BE22B4"/>
    <w:rsid w:val="00BF250E"/>
    <w:rsid w:val="00C26353"/>
    <w:rsid w:val="00C27C5D"/>
    <w:rsid w:val="00C720C7"/>
    <w:rsid w:val="00C82799"/>
    <w:rsid w:val="00C8404A"/>
    <w:rsid w:val="00C912BA"/>
    <w:rsid w:val="00CB79AC"/>
    <w:rsid w:val="00D03BD2"/>
    <w:rsid w:val="00D10FFD"/>
    <w:rsid w:val="00D113C5"/>
    <w:rsid w:val="00D2201F"/>
    <w:rsid w:val="00D26A7A"/>
    <w:rsid w:val="00D346F1"/>
    <w:rsid w:val="00D40C81"/>
    <w:rsid w:val="00D55B52"/>
    <w:rsid w:val="00D769FB"/>
    <w:rsid w:val="00D93FC4"/>
    <w:rsid w:val="00DB5DCD"/>
    <w:rsid w:val="00DF6BA2"/>
    <w:rsid w:val="00E022CE"/>
    <w:rsid w:val="00E31BEF"/>
    <w:rsid w:val="00E40897"/>
    <w:rsid w:val="00E534EF"/>
    <w:rsid w:val="00E8148A"/>
    <w:rsid w:val="00E95D79"/>
    <w:rsid w:val="00EA181D"/>
    <w:rsid w:val="00ED3CA0"/>
    <w:rsid w:val="00EE49FB"/>
    <w:rsid w:val="00EE6A0C"/>
    <w:rsid w:val="00F11865"/>
    <w:rsid w:val="00F2152A"/>
    <w:rsid w:val="00F4799F"/>
    <w:rsid w:val="00F52A85"/>
    <w:rsid w:val="00F73ECA"/>
    <w:rsid w:val="00F834BE"/>
    <w:rsid w:val="00FB2F8D"/>
    <w:rsid w:val="00FB5432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2">
    <w:name w:val="heading 2"/>
    <w:basedOn w:val="a"/>
    <w:link w:val="20"/>
    <w:uiPriority w:val="99"/>
    <w:qFormat/>
    <w:locked/>
    <w:rsid w:val="0082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2624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82624B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rvts0">
    <w:name w:val="rvts0"/>
    <w:rsid w:val="00D769FB"/>
  </w:style>
  <w:style w:type="character" w:customStyle="1" w:styleId="NoSpacingChar1">
    <w:name w:val="No Spacing Char1"/>
    <w:link w:val="21"/>
    <w:locked/>
    <w:rsid w:val="00C27C5D"/>
  </w:style>
  <w:style w:type="paragraph" w:customStyle="1" w:styleId="21">
    <w:name w:val="Без интервала2"/>
    <w:link w:val="NoSpacingChar1"/>
    <w:qFormat/>
    <w:rsid w:val="00C27C5D"/>
  </w:style>
  <w:style w:type="character" w:customStyle="1" w:styleId="docdata">
    <w:name w:val="docdata"/>
    <w:aliases w:val="docy,v5,2070,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A21051"/>
  </w:style>
  <w:style w:type="character" w:customStyle="1" w:styleId="hps">
    <w:name w:val="hps"/>
    <w:basedOn w:val="a0"/>
    <w:qFormat/>
    <w:rsid w:val="001F457A"/>
  </w:style>
  <w:style w:type="character" w:customStyle="1" w:styleId="apple-converted-space">
    <w:name w:val="apple-converted-space"/>
    <w:qFormat/>
    <w:rsid w:val="001F457A"/>
  </w:style>
  <w:style w:type="character" w:customStyle="1" w:styleId="longtext">
    <w:name w:val="long_text"/>
    <w:qFormat/>
    <w:rsid w:val="001F457A"/>
  </w:style>
  <w:style w:type="character" w:styleId="a4">
    <w:name w:val="Emphasis"/>
    <w:basedOn w:val="a0"/>
    <w:qFormat/>
    <w:locked/>
    <w:rsid w:val="001F457A"/>
    <w:rPr>
      <w:i/>
      <w:iCs/>
    </w:rPr>
  </w:style>
  <w:style w:type="character" w:styleId="a5">
    <w:name w:val="footnote reference"/>
    <w:basedOn w:val="a0"/>
    <w:uiPriority w:val="99"/>
    <w:semiHidden/>
    <w:rsid w:val="00474578"/>
    <w:rPr>
      <w:rFonts w:cs="Times New Roman"/>
      <w:vertAlign w:val="superscript"/>
    </w:rPr>
  </w:style>
  <w:style w:type="paragraph" w:styleId="a6">
    <w:name w:val="No Spacing"/>
    <w:uiPriority w:val="1"/>
    <w:qFormat/>
    <w:rsid w:val="00BF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1B52-A106-470F-AF18-AFA8D692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970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10</cp:revision>
  <dcterms:created xsi:type="dcterms:W3CDTF">2022-01-14T12:58:00Z</dcterms:created>
  <dcterms:modified xsi:type="dcterms:W3CDTF">2022-10-13T12:29:00Z</dcterms:modified>
</cp:coreProperties>
</file>