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6E09" w14:textId="3429CDE5" w:rsidR="008E5329" w:rsidRPr="009617A7" w:rsidRDefault="00987024" w:rsidP="00946075">
      <w:pPr>
        <w:spacing w:after="0" w:line="240" w:lineRule="auto"/>
        <w:ind w:left="-851" w:firstLine="425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17A7">
        <w:rPr>
          <w:rFonts w:ascii="Times New Roman" w:hAnsi="Times New Roman"/>
          <w:b/>
          <w:sz w:val="24"/>
          <w:szCs w:val="24"/>
          <w:lang w:val="uk-UA"/>
        </w:rPr>
        <w:t>Комунальне підприємство Дунаєвецької міської ради «БЛАГОУСТРІЙ ДУНАЄВЕЧЧИНИ»</w:t>
      </w:r>
    </w:p>
    <w:p w14:paraId="4CA4188D" w14:textId="77777777" w:rsidR="002C63B4" w:rsidRPr="009617A7" w:rsidRDefault="008E5329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lang w:val="uk-UA"/>
        </w:rPr>
      </w:pPr>
      <w:r w:rsidRPr="009617A7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4E4EA56D" w14:textId="77777777" w:rsidR="002C63B4" w:rsidRPr="009617A7" w:rsidRDefault="002C63B4" w:rsidP="00C305DF">
      <w:pPr>
        <w:spacing w:after="0" w:line="240" w:lineRule="auto"/>
        <w:ind w:left="-851" w:firstLine="425"/>
        <w:rPr>
          <w:rFonts w:ascii="Times New Roman" w:hAnsi="Times New Roman" w:cs="Times New Roman"/>
          <w:lang w:val="uk-UA"/>
        </w:rPr>
      </w:pPr>
    </w:p>
    <w:p w14:paraId="3A2D1606" w14:textId="77777777" w:rsidR="002C63B4" w:rsidRPr="009617A7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6EB2AC55" w14:textId="131BE613" w:rsidR="005B7423" w:rsidRPr="009617A7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2B1094" w:rsidRPr="009617A7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9617A7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8A3602" w14:textId="77777777" w:rsidR="002C63B4" w:rsidRPr="009617A7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46D1C0" w14:textId="77777777" w:rsidR="005B7423" w:rsidRPr="009617A7" w:rsidRDefault="005B7423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73E9A995" w14:textId="77777777" w:rsidR="002C63B4" w:rsidRPr="009617A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61BBCA0" w14:textId="2A7B213B" w:rsidR="002C63B4" w:rsidRPr="009617A7" w:rsidRDefault="00987024" w:rsidP="00946075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Комунальне підприємство Дунаєвецької міської ради «БЛАГОУСТРІЙ ДУНАЄВЕЧЧИНИ»</w:t>
      </w:r>
      <w:r w:rsidR="004B14EE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617A7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Україна, 32400, Хмельницька область, Кам'янець-Подільський район, місто Дунаївці, вулиця Соборна, будинок 11</w:t>
      </w:r>
      <w:r w:rsidR="00946075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46E3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>40326124</w:t>
      </w:r>
      <w:r w:rsidR="002C63B4" w:rsidRPr="00961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203DEF" w14:textId="2534B01E" w:rsidR="00D54DEC" w:rsidRPr="009617A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3659DF" w:rsidRPr="009617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Код за ДК 021:2015: </w:t>
      </w:r>
      <w:r w:rsidR="00987024" w:rsidRPr="009617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43210000-8 — Машини для земляних робіт (Гусеничний бульдозер)</w:t>
      </w:r>
      <w:r w:rsidR="003659DF" w:rsidRPr="009617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p w14:paraId="049CF680" w14:textId="0963205E" w:rsidR="00E75A58" w:rsidRPr="009617A7" w:rsidRDefault="009C415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/>
          <w:i/>
          <w:sz w:val="24"/>
          <w:szCs w:val="24"/>
          <w:lang w:val="uk-UA"/>
        </w:rPr>
        <w:t xml:space="preserve">Деталізований CPV код (у </w:t>
      </w:r>
      <w:proofErr w:type="spellStart"/>
      <w:r w:rsidRPr="009617A7">
        <w:rPr>
          <w:rFonts w:ascii="Times New Roman" w:hAnsi="Times New Roman"/>
          <w:i/>
          <w:sz w:val="24"/>
          <w:szCs w:val="24"/>
          <w:lang w:val="uk-UA"/>
        </w:rPr>
        <w:t>т.ч</w:t>
      </w:r>
      <w:proofErr w:type="spellEnd"/>
      <w:r w:rsidRPr="009617A7">
        <w:rPr>
          <w:rFonts w:ascii="Times New Roman" w:hAnsi="Times New Roman"/>
          <w:i/>
          <w:sz w:val="24"/>
          <w:szCs w:val="24"/>
          <w:lang w:val="uk-UA"/>
        </w:rPr>
        <w:t xml:space="preserve">. для лотів) та його назва </w:t>
      </w:r>
      <w:r w:rsidR="003659DF" w:rsidRPr="009617A7">
        <w:rPr>
          <w:rFonts w:ascii="Times New Roman" w:hAnsi="Times New Roman"/>
          <w:i/>
          <w:sz w:val="24"/>
          <w:szCs w:val="24"/>
          <w:lang w:val="uk-UA"/>
        </w:rPr>
        <w:t xml:space="preserve">ДК 021:2015 - </w:t>
      </w:r>
      <w:r w:rsidR="00987024" w:rsidRPr="009617A7">
        <w:rPr>
          <w:rFonts w:ascii="Times New Roman" w:hAnsi="Times New Roman"/>
          <w:i/>
          <w:sz w:val="24"/>
          <w:szCs w:val="24"/>
          <w:lang w:val="uk-UA"/>
        </w:rPr>
        <w:t>43211000-5 — Бульдозери</w:t>
      </w:r>
      <w:r w:rsidR="00E75A58" w:rsidRPr="00961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F4E4AC" w14:textId="57478C05" w:rsidR="002C63B4" w:rsidRPr="009617A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32C5" w:rsidRPr="009617A7">
        <w:rPr>
          <w:rFonts w:ascii="Times New Roman" w:hAnsi="Times New Roman" w:cs="Times New Roman"/>
          <w:sz w:val="24"/>
          <w:szCs w:val="24"/>
          <w:lang w:val="uk-UA"/>
        </w:rPr>
        <w:t>відкриті торги згідно</w:t>
      </w:r>
      <w:r w:rsidR="00006BFD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9617A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</w:t>
      </w:r>
      <w:proofErr w:type="spellStart"/>
      <w:r w:rsidR="00C507CF" w:rsidRPr="009617A7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C507CF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</w:t>
      </w:r>
      <w:r w:rsidR="00C305DF" w:rsidRPr="009617A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507CF" w:rsidRPr="009617A7">
        <w:rPr>
          <w:rFonts w:ascii="Times New Roman" w:hAnsi="Times New Roman" w:cs="Times New Roman"/>
          <w:sz w:val="24"/>
          <w:szCs w:val="24"/>
          <w:lang w:val="uk-UA"/>
        </w:rPr>
        <w:t>Про публічні закупівлі</w:t>
      </w:r>
      <w:r w:rsidR="00C305DF" w:rsidRPr="009617A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507CF" w:rsidRPr="009617A7">
        <w:rPr>
          <w:rFonts w:ascii="Times New Roman" w:hAnsi="Times New Roman" w:cs="Times New Roman"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F57513" w14:textId="3D525BAC" w:rsidR="002C63B4" w:rsidRPr="009617A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987024" w:rsidRPr="009617A7">
        <w:rPr>
          <w:rFonts w:ascii="Times New Roman" w:hAnsi="Times New Roman"/>
          <w:b/>
          <w:sz w:val="24"/>
          <w:szCs w:val="24"/>
          <w:lang w:val="uk-UA" w:eastAsia="uk-UA"/>
        </w:rPr>
        <w:t>6 150 000,00</w:t>
      </w:r>
      <w:r w:rsidR="00364165" w:rsidRPr="009617A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364165" w:rsidRPr="009617A7">
        <w:rPr>
          <w:rFonts w:ascii="Times New Roman" w:hAnsi="Times New Roman"/>
          <w:sz w:val="24"/>
          <w:szCs w:val="24"/>
          <w:lang w:val="uk-UA" w:eastAsia="uk-UA"/>
        </w:rPr>
        <w:t>грн. з ПДВ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AD1619" w14:textId="18220760" w:rsidR="00B17B81" w:rsidRPr="009617A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аналізом </w:t>
      </w:r>
      <w:r w:rsidR="001941F9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потреби в </w:t>
      </w:r>
      <w:r w:rsidR="00DB771E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забезпеченні громади </w:t>
      </w:r>
      <w:r w:rsidR="00511FD9" w:rsidRPr="009617A7">
        <w:rPr>
          <w:rFonts w:ascii="Times New Roman" w:hAnsi="Times New Roman" w:cs="Times New Roman"/>
          <w:sz w:val="24"/>
          <w:szCs w:val="24"/>
          <w:lang w:val="uk-UA"/>
        </w:rPr>
        <w:t>гусеничним бульдозером</w:t>
      </w:r>
      <w:r w:rsidR="00DB771E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для потреб благоустрою території громади</w:t>
      </w:r>
      <w:r w:rsidR="0055179B" w:rsidRPr="00961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4E1A4D" w14:textId="5C919DC1" w:rsidR="001941F9" w:rsidRPr="009617A7" w:rsidRDefault="001941F9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sz w:val="24"/>
          <w:szCs w:val="24"/>
          <w:lang w:val="uk-UA"/>
        </w:rPr>
        <w:t>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275, а також моніторингом цін на аналогічну продукцію на офіційних веб</w:t>
      </w:r>
      <w:r w:rsidR="00C305DF" w:rsidRPr="009617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сайтах виробників в Україні або їх офіційних представників (дилерів), зокрема: </w:t>
      </w:r>
      <w:r w:rsidR="007A0F3B" w:rsidRPr="009617A7">
        <w:rPr>
          <w:rFonts w:ascii="Times New Roman" w:hAnsi="Times New Roman" w:cs="Times New Roman"/>
          <w:sz w:val="24"/>
          <w:szCs w:val="24"/>
          <w:lang w:val="uk-UA"/>
        </w:rPr>
        <w:t>При цьому розрахунок очікуваної вартості проводився згідно з аналізом цін постачальників комунальної техніки, що оприлюднена ними на власних веб-сайтах:</w:t>
      </w:r>
      <w:r w:rsidR="007A0F3B" w:rsidRPr="009617A7">
        <w:rPr>
          <w:lang w:val="uk-UA"/>
        </w:rPr>
        <w:t xml:space="preserve"> </w:t>
      </w:r>
      <w:hyperlink r:id="rId5" w:history="1">
        <w:r w:rsidR="007A0F3B" w:rsidRPr="009617A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https://aleanda.com/</w:t>
        </w:r>
      </w:hyperlink>
      <w:r w:rsidR="007A0F3B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6" w:history="1">
        <w:r w:rsidR="007A0F3B" w:rsidRPr="009617A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https://machineryline.ua/</w:t>
        </w:r>
      </w:hyperlink>
      <w:r w:rsidR="007A0F3B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7" w:history="1">
        <w:r w:rsidR="007A0F3B" w:rsidRPr="009617A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https://car.prom.ua/</w:t>
        </w:r>
      </w:hyperlink>
      <w:r w:rsidR="007A0F3B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8" w:history="1">
        <w:r w:rsidR="007A0F3B" w:rsidRPr="009617A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https://auto.ria.com/</w:t>
        </w:r>
      </w:hyperlink>
      <w:r w:rsidR="007A0F3B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9" w:history="1">
        <w:r w:rsidR="007A0F3B" w:rsidRPr="009617A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https://www.olx.ua/</w:t>
        </w:r>
      </w:hyperlink>
      <w:r w:rsidR="007A0F3B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10" w:history="1">
        <w:r w:rsidR="007A0F3B" w:rsidRPr="009617A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https://zeppelin.ua/</w:t>
        </w:r>
      </w:hyperlink>
      <w:r w:rsidR="007A0F3B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11" w:history="1">
        <w:r w:rsidR="007A0F3B" w:rsidRPr="009617A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https://hydromarket.com.ua/</w:t>
        </w:r>
      </w:hyperlink>
      <w:r w:rsidR="007A0F3B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та ряду інших на дату формування очікуваної вартості предмета закупівлі. До ціни товару включена вартість товару, </w:t>
      </w:r>
      <w:proofErr w:type="spellStart"/>
      <w:r w:rsidR="007A0F3B" w:rsidRPr="009617A7">
        <w:rPr>
          <w:rFonts w:ascii="Times New Roman" w:hAnsi="Times New Roman" w:cs="Times New Roman"/>
          <w:sz w:val="24"/>
          <w:szCs w:val="24"/>
          <w:lang w:val="uk-UA"/>
        </w:rPr>
        <w:t>закупованого</w:t>
      </w:r>
      <w:proofErr w:type="spellEnd"/>
      <w:r w:rsidR="007A0F3B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навантаження/розвантаження товару, доставка власним або орендованим автотранспортом до місць Замовника, торгова націнка постачальника та всі визначені законодавством податки та збори.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C7E9934" w14:textId="3B1FFB7E" w:rsidR="001941F9" w:rsidRPr="009617A7" w:rsidRDefault="001941F9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постачальників на дату формування очікуваної вартості предмета закупівлі, що оприлюднені на веб-сайтах та прейскурантах цін (комерційних пропозицій) у вільному доступі, а також за результатами аукціонів закупівлі в системі </w:t>
      </w:r>
      <w:proofErr w:type="spellStart"/>
      <w:r w:rsidRPr="009617A7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12" w:history="1">
        <w:r w:rsidRPr="009617A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. До ціни товару включена вартість товару, </w:t>
      </w:r>
      <w:r w:rsidR="004E5063" w:rsidRPr="009617A7">
        <w:rPr>
          <w:rFonts w:ascii="Times New Roman" w:hAnsi="Times New Roman"/>
          <w:sz w:val="24"/>
          <w:szCs w:val="24"/>
          <w:lang w:val="uk-UA"/>
        </w:rPr>
        <w:t>витрати та тарифи, що сплачується або мають бути сплачені Учасником згідно чинного законодавства України зокрема: сплату ввізного мита (для нерезидентів та імпортерів); податки та інші збори і обов’язкові платежі, витрати на доставку, перевезення до місця визначеного замовником, а також гарантійне та ремонтне обслуговування товару, протягом строку, що визначений Договором.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>, націнка (маржа) постачальника.</w:t>
      </w:r>
    </w:p>
    <w:p w14:paraId="3FC81C6F" w14:textId="77777777" w:rsidR="001941F9" w:rsidRPr="009617A7" w:rsidRDefault="001941F9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826BB7" w14:textId="58DA119D" w:rsidR="00106847" w:rsidRPr="009617A7" w:rsidRDefault="00106847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9617A7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9617A7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9617A7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9617A7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14:paraId="3F18727B" w14:textId="01919DD2" w:rsidR="00B17B81" w:rsidRPr="009617A7" w:rsidRDefault="00371BBD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все вище описане, </w:t>
      </w:r>
      <w:r w:rsidR="00B17B81" w:rsidRPr="009617A7">
        <w:rPr>
          <w:rFonts w:ascii="Times New Roman" w:hAnsi="Times New Roman" w:cs="Times New Roman"/>
          <w:sz w:val="24"/>
          <w:szCs w:val="24"/>
          <w:lang w:val="uk-UA"/>
        </w:rPr>
        <w:t>виник</w:t>
      </w:r>
      <w:r w:rsidR="005F1E0C" w:rsidRPr="009617A7">
        <w:rPr>
          <w:rFonts w:ascii="Times New Roman" w:hAnsi="Times New Roman" w:cs="Times New Roman"/>
          <w:sz w:val="24"/>
          <w:szCs w:val="24"/>
          <w:lang w:val="uk-UA"/>
        </w:rPr>
        <w:t>ають</w:t>
      </w:r>
      <w:r w:rsidR="00B17B81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підстави для 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розрахунку очікуваної вартості предмета закупівлі </w:t>
      </w:r>
      <w:r w:rsidR="00641DA5" w:rsidRPr="009617A7">
        <w:rPr>
          <w:rFonts w:ascii="Times New Roman" w:hAnsi="Times New Roman" w:cs="Times New Roman"/>
          <w:sz w:val="24"/>
          <w:szCs w:val="24"/>
          <w:lang w:val="uk-UA"/>
        </w:rPr>
        <w:t>на підставі</w:t>
      </w:r>
      <w:r w:rsidR="00790919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пункту 3 розділу ІІІ </w:t>
      </w:r>
      <w:r w:rsidR="009008EE" w:rsidRPr="009617A7">
        <w:rPr>
          <w:rFonts w:ascii="Times New Roman" w:hAnsi="Times New Roman" w:cs="Times New Roman"/>
          <w:sz w:val="24"/>
          <w:szCs w:val="24"/>
          <w:lang w:val="uk-UA"/>
        </w:rPr>
        <w:t>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 № 275, а саме:</w:t>
      </w:r>
    </w:p>
    <w:p w14:paraId="6757CD17" w14:textId="27472EBF" w:rsidR="0055179B" w:rsidRPr="009617A7" w:rsidRDefault="003E5C41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9617A7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9617A7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 w:rsidRPr="009617A7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9617A7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961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A5739A" w14:textId="27D0184F" w:rsidR="00BB6FF2" w:rsidRPr="009617A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87024" w:rsidRPr="009617A7">
        <w:rPr>
          <w:rFonts w:ascii="Times New Roman" w:hAnsi="Times New Roman"/>
          <w:b/>
          <w:sz w:val="24"/>
          <w:szCs w:val="24"/>
          <w:lang w:val="uk-UA" w:eastAsia="uk-UA"/>
        </w:rPr>
        <w:t>6 150 000,00</w:t>
      </w:r>
      <w:r w:rsidR="00364165" w:rsidRPr="009617A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364165" w:rsidRPr="009617A7">
        <w:rPr>
          <w:rFonts w:ascii="Times New Roman" w:hAnsi="Times New Roman"/>
          <w:sz w:val="24"/>
          <w:szCs w:val="24"/>
          <w:lang w:val="uk-UA" w:eastAsia="uk-UA"/>
        </w:rPr>
        <w:t>грн. з ПДВ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A58CC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8DB" w:rsidRPr="009617A7">
        <w:rPr>
          <w:rFonts w:ascii="Times New Roman" w:hAnsi="Times New Roman" w:cs="Times New Roman"/>
          <w:sz w:val="24"/>
          <w:szCs w:val="24"/>
          <w:lang w:val="uk-UA"/>
        </w:rPr>
        <w:t>Місцевий бюджет</w:t>
      </w:r>
      <w:r w:rsidR="007A58CC" w:rsidRPr="00961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AE1526" w14:textId="448C5563" w:rsidR="002C63B4" w:rsidRPr="009617A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A0F3B" w:rsidRPr="009617A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A0F3B" w:rsidRPr="009617A7">
        <w:rPr>
          <w:rFonts w:ascii="Times New Roman" w:hAnsi="Times New Roman"/>
          <w:sz w:val="24"/>
          <w:szCs w:val="24"/>
          <w:lang w:val="uk-UA"/>
        </w:rPr>
        <w:t xml:space="preserve">ДСТУ </w:t>
      </w:r>
      <w:r w:rsidR="00EE2BFE" w:rsidRPr="009617A7">
        <w:rPr>
          <w:rFonts w:ascii="Times New Roman" w:hAnsi="Times New Roman"/>
          <w:sz w:val="24"/>
          <w:szCs w:val="24"/>
          <w:lang w:val="uk-UA"/>
        </w:rPr>
        <w:t>3311-96</w:t>
      </w:r>
      <w:r w:rsidR="007A0F3B" w:rsidRPr="009617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2BFE" w:rsidRPr="009617A7">
        <w:rPr>
          <w:rFonts w:ascii="Times New Roman" w:hAnsi="Times New Roman"/>
          <w:sz w:val="24"/>
          <w:szCs w:val="24"/>
          <w:lang w:val="uk-UA"/>
        </w:rPr>
        <w:t>Бульдозери. Терміни та визначення</w:t>
      </w:r>
      <w:r w:rsidR="007A0F3B" w:rsidRPr="009617A7">
        <w:rPr>
          <w:rFonts w:ascii="Times New Roman" w:hAnsi="Times New Roman"/>
          <w:sz w:val="24"/>
          <w:szCs w:val="24"/>
          <w:lang w:val="uk-UA"/>
        </w:rPr>
        <w:t>»</w:t>
      </w:r>
      <w:r w:rsidR="004E5063" w:rsidRPr="009617A7">
        <w:rPr>
          <w:rFonts w:ascii="Times New Roman" w:hAnsi="Times New Roman"/>
          <w:sz w:val="24"/>
          <w:szCs w:val="24"/>
          <w:lang w:val="uk-UA"/>
        </w:rPr>
        <w:t xml:space="preserve"> (далі - Стандарт)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7065F5" w14:textId="2F5B47AE" w:rsidR="002C63B4" w:rsidRPr="009617A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9617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71904" w:rsidRPr="009617A7">
        <w:rPr>
          <w:rFonts w:ascii="Times New Roman" w:hAnsi="Times New Roman" w:cs="Times New Roman"/>
          <w:sz w:val="24"/>
          <w:szCs w:val="24"/>
          <w:lang w:val="uk-UA"/>
        </w:rPr>
        <w:t>протягом 7 робочих днів з моменту укладання договору, але в будь-якому випадку не пізніше ніж до 31.12.2023 року</w:t>
      </w:r>
      <w:r w:rsidR="00FC0D72" w:rsidRPr="00961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0443F2" w14:textId="670A8D3B" w:rsidR="002C63B4" w:rsidRPr="009617A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</w:t>
      </w:r>
      <w:r w:rsidR="004E5063" w:rsidRPr="009617A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1 </w:t>
      </w:r>
      <w:r w:rsidR="00EE2BFE" w:rsidRPr="009617A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одиниця</w:t>
      </w:r>
      <w:r w:rsidRPr="00961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67DBCE" w14:textId="277AB3C2" w:rsidR="007A0F3B" w:rsidRPr="009617A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</w:t>
      </w:r>
      <w:r w:rsidR="00625E37" w:rsidRPr="009617A7">
        <w:rPr>
          <w:rFonts w:ascii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предмета закупівлі такі показники встановлені зокрема: </w:t>
      </w:r>
      <w:r w:rsidR="007A0F3B" w:rsidRPr="009617A7">
        <w:rPr>
          <w:rFonts w:ascii="Times New Roman" w:hAnsi="Times New Roman"/>
          <w:sz w:val="24"/>
          <w:szCs w:val="24"/>
          <w:lang w:val="uk-UA"/>
        </w:rPr>
        <w:t xml:space="preserve">ДСТУ </w:t>
      </w:r>
      <w:r w:rsidR="00EE2BFE" w:rsidRPr="009617A7">
        <w:rPr>
          <w:rFonts w:ascii="Times New Roman" w:hAnsi="Times New Roman"/>
          <w:sz w:val="24"/>
          <w:szCs w:val="24"/>
          <w:lang w:val="uk-UA"/>
        </w:rPr>
        <w:t>3311-96 Бульдозери. Терміни та визначення</w:t>
      </w:r>
      <w:r w:rsidR="00300A56" w:rsidRPr="009617A7">
        <w:rPr>
          <w:rFonts w:ascii="Times New Roman" w:hAnsi="Times New Roman"/>
          <w:sz w:val="24"/>
          <w:szCs w:val="24"/>
          <w:lang w:val="uk-UA"/>
        </w:rPr>
        <w:t>,</w:t>
      </w:r>
      <w:r w:rsidR="00EE2BFE" w:rsidRPr="009617A7">
        <w:rPr>
          <w:rFonts w:ascii="Times New Roman" w:hAnsi="Times New Roman"/>
          <w:sz w:val="24"/>
          <w:szCs w:val="24"/>
          <w:lang w:val="uk-UA"/>
        </w:rPr>
        <w:t xml:space="preserve"> ДСТУ EN 474-2:2014 Машини землерийні. Вимоги щодо безпеки. Частина 2. Вимоги до бульдозерів (EN 474-2:2006+A1:2008, IDT),</w:t>
      </w:r>
      <w:r w:rsidR="00300A56" w:rsidRPr="009617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0F3B" w:rsidRPr="009617A7">
        <w:rPr>
          <w:rFonts w:ascii="Times New Roman" w:hAnsi="Times New Roman"/>
          <w:sz w:val="24"/>
          <w:szCs w:val="24"/>
          <w:lang w:val="uk-UA"/>
        </w:rPr>
        <w:t>технічним умовам виробника, Правилам ЄЕК ООН, а також вимогам Постанови КМУ «Про затвердження Технічного регламенту шумового випромінювання у навколишнє середовище від обладнання, що використовується ззовні приміщень» від 4 грудня 2019 р. № 1186 зі змінами</w:t>
      </w:r>
      <w:r w:rsidR="00300A56" w:rsidRPr="009617A7">
        <w:rPr>
          <w:rFonts w:ascii="Times New Roman" w:hAnsi="Times New Roman"/>
          <w:sz w:val="24"/>
          <w:szCs w:val="24"/>
          <w:lang w:val="uk-UA"/>
        </w:rPr>
        <w:t>.</w:t>
      </w:r>
    </w:p>
    <w:p w14:paraId="5785F7F4" w14:textId="7C82B696" w:rsidR="00A7085D" w:rsidRPr="009617A7" w:rsidRDefault="00A7085D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617A7">
        <w:rPr>
          <w:rFonts w:ascii="Times New Roman" w:hAnsi="Times New Roman"/>
          <w:bCs/>
          <w:sz w:val="24"/>
          <w:szCs w:val="24"/>
          <w:lang w:val="uk-UA"/>
        </w:rPr>
        <w:t>Решта технічних та якісних характеристик можливо згаданих за умовами тендерної документації передбачено в перелічених вище нормативних документах.</w:t>
      </w:r>
    </w:p>
    <w:p w14:paraId="3DA3940D" w14:textId="77777777" w:rsidR="00B21D9E" w:rsidRPr="009617A7" w:rsidRDefault="00B21D9E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pPr w:leftFromText="180" w:rightFromText="180" w:vertAnchor="text" w:tblpX="-743" w:tblpY="1"/>
        <w:tblOverlap w:val="never"/>
        <w:tblW w:w="10283" w:type="dxa"/>
        <w:tblLayout w:type="fixed"/>
        <w:tblLook w:val="0000" w:firstRow="0" w:lastRow="0" w:firstColumn="0" w:lastColumn="0" w:noHBand="0" w:noVBand="0"/>
      </w:tblPr>
      <w:tblGrid>
        <w:gridCol w:w="250"/>
        <w:gridCol w:w="9781"/>
        <w:gridCol w:w="246"/>
        <w:gridCol w:w="6"/>
      </w:tblGrid>
      <w:tr w:rsidR="00EE2BFE" w:rsidRPr="009617A7" w14:paraId="0247FAB0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DC02" w14:textId="426041D4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0F44" w14:textId="77777777" w:rsidR="00EE2BFE" w:rsidRPr="009617A7" w:rsidRDefault="00EE2BFE" w:rsidP="00EE2BFE">
            <w:pPr>
              <w:tabs>
                <w:tab w:val="left" w:pos="1560"/>
                <w:tab w:val="left" w:pos="2310"/>
              </w:tabs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Загальні характеристики</w:t>
            </w:r>
            <w:r w:rsidRPr="009617A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  <w:r w:rsidRPr="009617A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9C0A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03EDC8A6" w14:textId="77777777" w:rsidTr="00EE2BFE">
        <w:trPr>
          <w:gridAfter w:val="1"/>
          <w:wAfter w:w="6" w:type="dxa"/>
          <w:trHeight w:val="30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D741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69DA0" w14:textId="77777777" w:rsidR="00EE2BFE" w:rsidRPr="009617A7" w:rsidRDefault="00EE2BFE" w:rsidP="00EE2BFE">
            <w:pPr>
              <w:tabs>
                <w:tab w:val="left" w:pos="1276"/>
                <w:tab w:val="left" w:pos="10348"/>
                <w:tab w:val="left" w:pos="1389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Експлуатаційна маса бульдозера, не більше – </w:t>
            </w:r>
            <w:r w:rsidRPr="009617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17 000</w:t>
            </w: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кг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D8C4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54FEE751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3C14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B8CF" w14:textId="77777777" w:rsidR="00EE2BFE" w:rsidRPr="009617A7" w:rsidRDefault="00EE2BFE" w:rsidP="00EE2BFE">
            <w:pPr>
              <w:tabs>
                <w:tab w:val="left" w:pos="1560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Тиск на ґрунт, не більше – 67 кПа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CC77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66298094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F274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38C9" w14:textId="77777777" w:rsidR="00EE2BFE" w:rsidRPr="009617A7" w:rsidRDefault="00EE2BFE" w:rsidP="00EE2BFE">
            <w:pPr>
              <w:tabs>
                <w:tab w:val="left" w:pos="1560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Максимальна швидкість руху вперед, не більше – </w:t>
            </w: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9,6 км/год.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5F66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0C50EBE6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9444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E121" w14:textId="77777777" w:rsidR="00EE2BFE" w:rsidRPr="009617A7" w:rsidRDefault="00EE2BFE" w:rsidP="00EE2BFE">
            <w:pPr>
              <w:tabs>
                <w:tab w:val="left" w:pos="1560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Максимальна швидкість руху назад, не більше – </w:t>
            </w: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12,5 км/год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5C18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58679A54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8EAE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5E90" w14:textId="77777777" w:rsidR="00EE2BFE" w:rsidRPr="009617A7" w:rsidRDefault="00EE2BFE" w:rsidP="00EE2BFE">
            <w:pPr>
              <w:tabs>
                <w:tab w:val="left" w:pos="1560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Максимальне тягове зусилля, не менше – 15</w:t>
            </w:r>
            <w:r w:rsidRPr="00961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961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кН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7A61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550DD94B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8601C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BD29D" w14:textId="77777777" w:rsidR="00EE2BFE" w:rsidRPr="009617A7" w:rsidRDefault="00EE2BFE" w:rsidP="00EE2BF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Габаритна розміри (Довжина), не  менше – 5140 мм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8C9B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6E741040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FAED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000E" w14:textId="77777777" w:rsidR="00EE2BFE" w:rsidRPr="009617A7" w:rsidRDefault="00EE2BFE" w:rsidP="00EE2BF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Габаритна розміри (Ширина), не більше – 3390 мм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0E80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22279F02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5996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D6E4" w14:textId="77777777" w:rsidR="00EE2BFE" w:rsidRPr="009617A7" w:rsidRDefault="00EE2BFE" w:rsidP="00EE2BF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Габаритна розміри (Висота), не більше – 3040 мм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A4FE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4E41425D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BD76E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90A6" w14:textId="77777777" w:rsidR="00EE2BFE" w:rsidRPr="009617A7" w:rsidRDefault="00EE2BFE" w:rsidP="00EE2BF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 колії, не менше – 1880мм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E32E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5DAC9DE8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BDC8" w14:textId="69F65628" w:rsidR="00EE2BFE" w:rsidRPr="009617A7" w:rsidRDefault="00EE2BFE" w:rsidP="00EE2BFE">
            <w:pPr>
              <w:tabs>
                <w:tab w:val="left" w:pos="156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6CE2" w14:textId="77777777" w:rsidR="00EE2BFE" w:rsidRPr="009617A7" w:rsidRDefault="00EE2BFE" w:rsidP="00EE2BFE">
            <w:pPr>
              <w:tabs>
                <w:tab w:val="left" w:pos="156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Двигун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0207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214EE988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C58B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12D6E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Тип двигуна – дизельний, рядний, 6-ти циліндровий, чотирьохактний, з водяним охолодженням, прямим впорскуванням палива та </w:t>
            </w:r>
            <w:proofErr w:type="spellStart"/>
            <w:r w:rsidRPr="00961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турбо</w:t>
            </w:r>
            <w:proofErr w:type="spellEnd"/>
            <w:r w:rsidRPr="00961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наддувом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96D2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7B06B2BA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C7D1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B8CB9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Номінальна потужність двигуна, не менше  – </w:t>
            </w: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131 кВт (178 </w:t>
            </w:r>
            <w:proofErr w:type="spellStart"/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к.с</w:t>
            </w:r>
            <w:proofErr w:type="spellEnd"/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48FD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6BFB3888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378D7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9FE7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Номінальна частота обертання, не менше – 1850 об/хв.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4BEB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4589801D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A229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DAFF8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Робочий об’єм двигуна, не менше – </w:t>
            </w: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9,7л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BC52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404B4D52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A8B5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0F3C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Мінімальна витрата палива, не більше 214(г/</w:t>
            </w:r>
            <w:proofErr w:type="spellStart"/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кВт.г</w:t>
            </w:r>
            <w:proofErr w:type="spellEnd"/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E5A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60C49C67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2088D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EC0D2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1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Модель двигуна – WD10G178E25 (або еквівалент)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0997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7F81575C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FE3F" w14:textId="2A542E46" w:rsidR="00EE2BFE" w:rsidRPr="009617A7" w:rsidRDefault="00EE2BFE" w:rsidP="00EE2B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B298" w14:textId="77777777" w:rsidR="00EE2BFE" w:rsidRPr="009617A7" w:rsidRDefault="00EE2BFE" w:rsidP="00EE2B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Ходова система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46DD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71903D05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164C7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3DF9C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гусеничної системи – бульдозер повинен бути оснащений гусеничною ходовою системою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6227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45DBBC50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1D443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8FA77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Ширина гусеничних траків, не менше – 510 мм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5ED3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35808AB4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260D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48428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опорних катків (на кожну сторону), не менше  – 6 шт.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DEA7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38CF897F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F3A9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4CD2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підтримуючих катків (на кожну сторону), не менше – 2 шт.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F77E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38C0B376" w14:textId="77777777" w:rsidTr="00EE2BFE">
        <w:tc>
          <w:tcPr>
            <w:tcW w:w="10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9632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Гідравлічна система робочої установки</w:t>
            </w:r>
          </w:p>
        </w:tc>
      </w:tr>
      <w:tr w:rsidR="00EE2BFE" w:rsidRPr="009617A7" w14:paraId="74D99768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91A7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A110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Робочий тиск, </w:t>
            </w:r>
            <w:r w:rsidRPr="009617A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не більше 14 МПа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C426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6837CC25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540F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FB737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Продуктивність гідравлічного насосу, не менше 243 л/хв.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84D0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5EB43659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8435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AAC9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гідравлічного насос - шестеренчастий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D070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0030C7BC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D01F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FC4C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AA95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4E99222F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3436" w14:textId="1BFD3396" w:rsidR="00EE2BFE" w:rsidRPr="009617A7" w:rsidRDefault="00EE2BFE" w:rsidP="00EE2BFE">
            <w:pPr>
              <w:tabs>
                <w:tab w:val="left" w:pos="156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EEF4F" w14:textId="77777777" w:rsidR="00EE2BFE" w:rsidRPr="009617A7" w:rsidRDefault="00EE2BFE" w:rsidP="00EE2BFE">
            <w:pPr>
              <w:tabs>
                <w:tab w:val="left" w:pos="156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Характеристики бульдозерного відвалу для згортання твердих побутових відходів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7CF3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7E5713FE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4FD8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10B75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Об’єм відвалу, не менше  – 6,5 м³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2FE4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4C547EFC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F321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A1C92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Ширина відвалу, не менше  – 3380 мм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CFF3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67EEF5EF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5DFD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A7F3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Висота відвалу, не менше – 1780 мм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E47A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3D333F10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B4F4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3DA66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Максимальне заглиблення відвалу, не менше  – 540 мм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21CB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EE2BFE" w:rsidRPr="009617A7" w14:paraId="2D363A8F" w14:textId="77777777" w:rsidTr="00EE2BFE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2C3D" w14:textId="77777777" w:rsidR="00EE2BFE" w:rsidRPr="009617A7" w:rsidRDefault="00EE2BFE" w:rsidP="00EE2BFE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21CA" w14:textId="77777777" w:rsidR="00EE2BFE" w:rsidRPr="009617A7" w:rsidRDefault="00EE2BFE" w:rsidP="00EE2BFE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Максимальна висота підйому відвалу над землею, не менше – 1090 мм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FF26" w14:textId="77777777" w:rsidR="00EE2BFE" w:rsidRPr="009617A7" w:rsidRDefault="00EE2BFE" w:rsidP="00EE2BFE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</w:tbl>
    <w:p w14:paraId="245832A3" w14:textId="77777777" w:rsidR="00CD7DA2" w:rsidRPr="009617A7" w:rsidRDefault="00CD7DA2" w:rsidP="00C305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bCs/>
          <w:lang w:val="uk-UA"/>
        </w:rPr>
      </w:pPr>
    </w:p>
    <w:p w14:paraId="7E0A0937" w14:textId="7298C02B" w:rsidR="00997955" w:rsidRPr="009617A7" w:rsidRDefault="003659DF" w:rsidP="00C305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9617A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Технічні та якісні показники, що зазначені вище були підібрані Замовником за результатами порівнянь різних </w:t>
      </w:r>
      <w:r w:rsidR="00D269AD" w:rsidRPr="009617A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бульдозерів</w:t>
      </w:r>
      <w:r w:rsidRPr="009617A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 критерію «ціна/якість» та максимально повністю враховують функціональну потребу Замовника для виробничих цілей.</w:t>
      </w:r>
    </w:p>
    <w:p w14:paraId="4F45F19A" w14:textId="77777777" w:rsidR="00DB771E" w:rsidRPr="009617A7" w:rsidRDefault="00DB771E" w:rsidP="00383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9617A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Примітка: </w:t>
      </w:r>
      <w:r w:rsidRPr="009617A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правилами. </w:t>
      </w:r>
      <w:r w:rsidRPr="009617A7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 xml:space="preserve">Після кожного такого посилання слід вважати наявний вираз </w:t>
      </w:r>
      <w:r w:rsidRPr="009617A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  <w:t>«або еквівалент».</w:t>
      </w:r>
      <w:r w:rsidRPr="009617A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2E8AB7F" w14:textId="7558B78D" w:rsidR="0038624B" w:rsidRPr="009617A7" w:rsidRDefault="00DB771E" w:rsidP="00383BA6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617A7">
        <w:rPr>
          <w:rFonts w:ascii="Times New Roman" w:hAnsi="Times New Roman"/>
          <w:bCs/>
          <w:sz w:val="24"/>
          <w:szCs w:val="24"/>
          <w:lang w:val="uk-UA"/>
        </w:rPr>
        <w:lastRenderedPageBreak/>
        <w:t>Товар, що є предметом закупівлі підпадає під вимоги підтвердження локалізації виробництва</w:t>
      </w:r>
      <w:r w:rsidRPr="009617A7">
        <w:rPr>
          <w:rFonts w:ascii="Times New Roman" w:eastAsia="Times New Roman" w:hAnsi="Times New Roman"/>
          <w:sz w:val="24"/>
          <w:szCs w:val="24"/>
          <w:lang w:val="uk-UA"/>
        </w:rPr>
        <w:t xml:space="preserve"> за підпунктом 2 пункту 61 Розділу Х «Прикінцеві та перехідні положення» Закону України «Про публічні закупівлі» в обсязі не менше ніж 15 відсотків у 2023 році.</w:t>
      </w:r>
    </w:p>
    <w:p w14:paraId="495275C4" w14:textId="77777777" w:rsidR="00DB771E" w:rsidRPr="009617A7" w:rsidRDefault="00DB771E" w:rsidP="00AB70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A52260D" w14:textId="641346FA" w:rsidR="008E5329" w:rsidRPr="009617A7" w:rsidRDefault="008E5329" w:rsidP="00C305D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17A7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9617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14:paraId="0C8A6F7B" w14:textId="75087312" w:rsidR="008E5329" w:rsidRPr="009617A7" w:rsidRDefault="00A7085D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617A7">
        <w:rPr>
          <w:rFonts w:ascii="Times New Roman" w:hAnsi="Times New Roman"/>
          <w:i/>
          <w:sz w:val="24"/>
          <w:szCs w:val="24"/>
          <w:lang w:val="uk-UA"/>
        </w:rPr>
        <w:t xml:space="preserve">1. </w:t>
      </w:r>
      <w:r w:rsidR="008E5329" w:rsidRPr="009617A7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="008E5329" w:rsidRPr="009617A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“Про публічні закупівлі” №922-VIII від 25.12.2015 року</w:t>
      </w:r>
      <w:r w:rsidRPr="009617A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зі змінами</w:t>
      </w:r>
      <w:r w:rsidR="008E5329" w:rsidRPr="009617A7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35E38259" w14:textId="2663DE1F" w:rsidR="00FC0D72" w:rsidRPr="00EE2BFE" w:rsidRDefault="008E5329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617A7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BE6E84" w:rsidRPr="009617A7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«Про затвердження особливостей здійснення публічних </w:t>
      </w:r>
      <w:proofErr w:type="spellStart"/>
      <w:r w:rsidR="00BE6E84" w:rsidRPr="009617A7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="00BE6E84" w:rsidRPr="009617A7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</w:t>
      </w:r>
      <w:r w:rsidR="00AB70ED" w:rsidRPr="009617A7">
        <w:rPr>
          <w:rFonts w:ascii="Times New Roman" w:hAnsi="Times New Roman"/>
          <w:i/>
          <w:sz w:val="24"/>
          <w:szCs w:val="24"/>
          <w:lang w:val="uk-UA"/>
        </w:rPr>
        <w:t>«</w:t>
      </w:r>
      <w:r w:rsidR="00BE6E84" w:rsidRPr="009617A7">
        <w:rPr>
          <w:rFonts w:ascii="Times New Roman" w:hAnsi="Times New Roman"/>
          <w:i/>
          <w:sz w:val="24"/>
          <w:szCs w:val="24"/>
          <w:lang w:val="uk-UA"/>
        </w:rPr>
        <w:t>Про публічні закупівлі</w:t>
      </w:r>
      <w:r w:rsidR="00AB70ED" w:rsidRPr="009617A7">
        <w:rPr>
          <w:rFonts w:ascii="Times New Roman" w:hAnsi="Times New Roman"/>
          <w:i/>
          <w:sz w:val="24"/>
          <w:szCs w:val="24"/>
          <w:lang w:val="uk-UA"/>
        </w:rPr>
        <w:t>»</w:t>
      </w:r>
      <w:r w:rsidR="00BE6E84" w:rsidRPr="009617A7">
        <w:rPr>
          <w:rFonts w:ascii="Times New Roman" w:hAnsi="Times New Roman"/>
          <w:i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 жовтня 2022 р. № 1178;</w:t>
      </w:r>
    </w:p>
    <w:p w14:paraId="19EA9BD3" w14:textId="77777777" w:rsidR="008E5329" w:rsidRPr="00EE2BFE" w:rsidRDefault="008E5329" w:rsidP="003659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8E5329" w:rsidRPr="00EE2BFE" w:rsidSect="00B23D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705D4D"/>
    <w:multiLevelType w:val="hybridMultilevel"/>
    <w:tmpl w:val="07DCC774"/>
    <w:lvl w:ilvl="0" w:tplc="D5D61A3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33E0"/>
    <w:multiLevelType w:val="hybridMultilevel"/>
    <w:tmpl w:val="B122D5AA"/>
    <w:lvl w:ilvl="0" w:tplc="4A367610">
      <w:start w:val="9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AA73DFA"/>
    <w:multiLevelType w:val="hybridMultilevel"/>
    <w:tmpl w:val="9A369A30"/>
    <w:lvl w:ilvl="0" w:tplc="48681C8C">
      <w:start w:val="9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E7C07D3"/>
    <w:multiLevelType w:val="hybridMultilevel"/>
    <w:tmpl w:val="24D67D24"/>
    <w:lvl w:ilvl="0" w:tplc="7674BA1A">
      <w:numFmt w:val="bullet"/>
      <w:lvlText w:val="-"/>
      <w:lvlJc w:val="left"/>
      <w:pPr>
        <w:ind w:left="43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4B1E0F31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06BFD"/>
    <w:rsid w:val="000614EE"/>
    <w:rsid w:val="000A20CF"/>
    <w:rsid w:val="000B0EA6"/>
    <w:rsid w:val="000B6163"/>
    <w:rsid w:val="000C13AC"/>
    <w:rsid w:val="000E4B75"/>
    <w:rsid w:val="000E60A4"/>
    <w:rsid w:val="00106847"/>
    <w:rsid w:val="00113058"/>
    <w:rsid w:val="00140F8E"/>
    <w:rsid w:val="00186F2E"/>
    <w:rsid w:val="001941F9"/>
    <w:rsid w:val="001B24D5"/>
    <w:rsid w:val="001D06A4"/>
    <w:rsid w:val="001F43B6"/>
    <w:rsid w:val="00262916"/>
    <w:rsid w:val="002846E3"/>
    <w:rsid w:val="002B1094"/>
    <w:rsid w:val="002C63B4"/>
    <w:rsid w:val="002F1AB5"/>
    <w:rsid w:val="002F5CBC"/>
    <w:rsid w:val="00300A56"/>
    <w:rsid w:val="00300DA9"/>
    <w:rsid w:val="003126DD"/>
    <w:rsid w:val="00345912"/>
    <w:rsid w:val="00364165"/>
    <w:rsid w:val="003659DF"/>
    <w:rsid w:val="00371BBD"/>
    <w:rsid w:val="003831FB"/>
    <w:rsid w:val="00383BA6"/>
    <w:rsid w:val="0038624B"/>
    <w:rsid w:val="00396325"/>
    <w:rsid w:val="003A583A"/>
    <w:rsid w:val="003A5BA7"/>
    <w:rsid w:val="003E5C41"/>
    <w:rsid w:val="00420481"/>
    <w:rsid w:val="00422C6C"/>
    <w:rsid w:val="00477AFA"/>
    <w:rsid w:val="004935D0"/>
    <w:rsid w:val="004B14EE"/>
    <w:rsid w:val="004E5063"/>
    <w:rsid w:val="004F0AB2"/>
    <w:rsid w:val="00511FD9"/>
    <w:rsid w:val="0055179B"/>
    <w:rsid w:val="005619C2"/>
    <w:rsid w:val="00565650"/>
    <w:rsid w:val="005A48DB"/>
    <w:rsid w:val="005B7423"/>
    <w:rsid w:val="005F1E0C"/>
    <w:rsid w:val="00625E37"/>
    <w:rsid w:val="00625FD4"/>
    <w:rsid w:val="00641DA5"/>
    <w:rsid w:val="006452C9"/>
    <w:rsid w:val="00645755"/>
    <w:rsid w:val="00685FE7"/>
    <w:rsid w:val="006D4615"/>
    <w:rsid w:val="006D48C7"/>
    <w:rsid w:val="00713520"/>
    <w:rsid w:val="00721913"/>
    <w:rsid w:val="007660CA"/>
    <w:rsid w:val="00777F6C"/>
    <w:rsid w:val="00790919"/>
    <w:rsid w:val="007A0F3B"/>
    <w:rsid w:val="007A2306"/>
    <w:rsid w:val="007A58CC"/>
    <w:rsid w:val="007D6418"/>
    <w:rsid w:val="007E2321"/>
    <w:rsid w:val="008B4284"/>
    <w:rsid w:val="008B701E"/>
    <w:rsid w:val="008E5329"/>
    <w:rsid w:val="009008EE"/>
    <w:rsid w:val="009111D3"/>
    <w:rsid w:val="009132C5"/>
    <w:rsid w:val="00946075"/>
    <w:rsid w:val="009613E5"/>
    <w:rsid w:val="009617A7"/>
    <w:rsid w:val="00962D48"/>
    <w:rsid w:val="00965449"/>
    <w:rsid w:val="00987024"/>
    <w:rsid w:val="00997955"/>
    <w:rsid w:val="009A4B7A"/>
    <w:rsid w:val="009A6C86"/>
    <w:rsid w:val="009A7B7F"/>
    <w:rsid w:val="009C4154"/>
    <w:rsid w:val="009E0FF8"/>
    <w:rsid w:val="00A23780"/>
    <w:rsid w:val="00A31EA7"/>
    <w:rsid w:val="00A35660"/>
    <w:rsid w:val="00A40DD9"/>
    <w:rsid w:val="00A55336"/>
    <w:rsid w:val="00A7085D"/>
    <w:rsid w:val="00A82DE3"/>
    <w:rsid w:val="00AB70ED"/>
    <w:rsid w:val="00AF2EC8"/>
    <w:rsid w:val="00B17790"/>
    <w:rsid w:val="00B17B81"/>
    <w:rsid w:val="00B21D9E"/>
    <w:rsid w:val="00B23DBE"/>
    <w:rsid w:val="00B723F6"/>
    <w:rsid w:val="00B74B7D"/>
    <w:rsid w:val="00B8073E"/>
    <w:rsid w:val="00B94ECF"/>
    <w:rsid w:val="00BA0162"/>
    <w:rsid w:val="00BB6FF2"/>
    <w:rsid w:val="00BE575D"/>
    <w:rsid w:val="00BE6E84"/>
    <w:rsid w:val="00BF072D"/>
    <w:rsid w:val="00C305DF"/>
    <w:rsid w:val="00C507CF"/>
    <w:rsid w:val="00C80EF4"/>
    <w:rsid w:val="00CD7DA2"/>
    <w:rsid w:val="00CF177F"/>
    <w:rsid w:val="00D0529B"/>
    <w:rsid w:val="00D20A17"/>
    <w:rsid w:val="00D215B0"/>
    <w:rsid w:val="00D269AD"/>
    <w:rsid w:val="00D54DEC"/>
    <w:rsid w:val="00DB771E"/>
    <w:rsid w:val="00DC355A"/>
    <w:rsid w:val="00DD1364"/>
    <w:rsid w:val="00E37701"/>
    <w:rsid w:val="00E664E4"/>
    <w:rsid w:val="00E75A58"/>
    <w:rsid w:val="00E958C5"/>
    <w:rsid w:val="00EE2BFE"/>
    <w:rsid w:val="00F11811"/>
    <w:rsid w:val="00F56855"/>
    <w:rsid w:val="00F71904"/>
    <w:rsid w:val="00F827BB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A9B"/>
  <w15:docId w15:val="{1FC8BCD8-9F90-40DA-9D81-8C57A9E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aliases w:val="Elenco Normale,List Paragraph,Список уровня 2,название табл/рис,Chapter10,Number Bullets,List Paragraph (numbered (a)),EBRD List,заголовок 1.1,CA bullets,AC List 01"/>
    <w:basedOn w:val="a"/>
    <w:link w:val="a5"/>
    <w:uiPriority w:val="34"/>
    <w:qFormat/>
    <w:rsid w:val="008E5329"/>
    <w:pPr>
      <w:ind w:left="720"/>
      <w:contextualSpacing/>
    </w:pPr>
  </w:style>
  <w:style w:type="paragraph" w:styleId="a6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7">
    <w:name w:val="Table Grid"/>
    <w:basedOn w:val="a1"/>
    <w:uiPriority w:val="39"/>
    <w:rsid w:val="007A0F3B"/>
    <w:pPr>
      <w:spacing w:after="0" w:line="240" w:lineRule="auto"/>
    </w:pPr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Number Bullets Знак,List Paragraph (numbered (a)) Знак,EBRD List Знак,заголовок 1.1 Знак,CA bullets Знак,AC List 01 Знак"/>
    <w:link w:val="a4"/>
    <w:uiPriority w:val="34"/>
    <w:rsid w:val="00B21D9E"/>
  </w:style>
  <w:style w:type="paragraph" w:customStyle="1" w:styleId="Standard">
    <w:name w:val="Standard"/>
    <w:qFormat/>
    <w:rsid w:val="00B21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i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.prom.ua/" TargetMode="External"/><Relationship Id="rId12" Type="http://schemas.openxmlformats.org/officeDocument/2006/relationships/hyperlink" Target="https://prozorro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chineryline.ua/" TargetMode="External"/><Relationship Id="rId11" Type="http://schemas.openxmlformats.org/officeDocument/2006/relationships/hyperlink" Target="https://hydromarket.com.ua/" TargetMode="External"/><Relationship Id="rId5" Type="http://schemas.openxmlformats.org/officeDocument/2006/relationships/hyperlink" Target="https://aleanda.com/" TargetMode="External"/><Relationship Id="rId10" Type="http://schemas.openxmlformats.org/officeDocument/2006/relationships/hyperlink" Target="https://zeppeli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x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й</cp:lastModifiedBy>
  <cp:revision>95</cp:revision>
  <dcterms:created xsi:type="dcterms:W3CDTF">2022-10-17T09:41:00Z</dcterms:created>
  <dcterms:modified xsi:type="dcterms:W3CDTF">2023-10-13T13:44:00Z</dcterms:modified>
</cp:coreProperties>
</file>