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91" w:rsidRDefault="006A3AFF" w:rsidP="006A3AFF">
      <w:pPr>
        <w:pStyle w:val="2"/>
        <w:spacing w:line="254" w:lineRule="auto"/>
        <w:ind w:left="4963" w:firstLine="709"/>
        <w:rPr>
          <w:rStyle w:val="20"/>
          <w:color w:val="000000"/>
          <w:sz w:val="24"/>
          <w:szCs w:val="24"/>
          <w:lang w:val="uk-UA" w:eastAsia="uk-UA"/>
        </w:rPr>
      </w:pPr>
      <w:r>
        <w:rPr>
          <w:rStyle w:val="20"/>
          <w:color w:val="000000"/>
          <w:sz w:val="24"/>
          <w:szCs w:val="24"/>
          <w:lang w:val="uk-UA" w:eastAsia="uk-UA"/>
        </w:rPr>
        <w:t xml:space="preserve">                Додаток 2</w:t>
      </w:r>
    </w:p>
    <w:p w:rsidR="00345891" w:rsidRDefault="006A3AFF">
      <w:pPr>
        <w:pStyle w:val="2"/>
        <w:spacing w:line="254" w:lineRule="auto"/>
        <w:jc w:val="right"/>
        <w:rPr>
          <w:b w:val="0"/>
          <w:bCs w:val="0"/>
          <w:color w:val="000000"/>
          <w:sz w:val="24"/>
          <w:szCs w:val="24"/>
          <w:lang w:val="uk-UA" w:eastAsia="uk-UA"/>
        </w:rPr>
      </w:pPr>
      <w:r>
        <w:rPr>
          <w:rStyle w:val="20"/>
          <w:color w:val="000000"/>
          <w:sz w:val="24"/>
          <w:szCs w:val="24"/>
          <w:lang w:val="uk-UA" w:eastAsia="uk-UA"/>
        </w:rPr>
        <w:t xml:space="preserve"> до тендерної документації</w:t>
      </w:r>
    </w:p>
    <w:p w:rsidR="00345891" w:rsidRDefault="00345891">
      <w:pPr>
        <w:pStyle w:val="2"/>
        <w:spacing w:line="254" w:lineRule="auto"/>
        <w:jc w:val="right"/>
        <w:rPr>
          <w:b w:val="0"/>
          <w:bCs w:val="0"/>
          <w:sz w:val="24"/>
          <w:szCs w:val="24"/>
          <w:lang w:val="uk-UA"/>
        </w:rPr>
      </w:pPr>
    </w:p>
    <w:p w:rsidR="00345891" w:rsidRDefault="006A3AFF">
      <w:pPr>
        <w:pStyle w:val="2"/>
        <w:jc w:val="center"/>
        <w:rPr>
          <w:b w:val="0"/>
          <w:bCs w:val="0"/>
          <w:sz w:val="24"/>
          <w:szCs w:val="24"/>
          <w:lang w:val="uk-UA"/>
        </w:rPr>
      </w:pPr>
      <w:r>
        <w:rPr>
          <w:rStyle w:val="20"/>
          <w:b/>
          <w:color w:val="000000"/>
          <w:sz w:val="24"/>
          <w:szCs w:val="24"/>
          <w:lang w:val="uk-UA" w:eastAsia="uk-UA"/>
        </w:rPr>
        <w:t>ТЕХНІЧНА СПЕЦИФІКАЦІЯ</w:t>
      </w:r>
    </w:p>
    <w:p w:rsidR="00345891" w:rsidRDefault="006A3AFF">
      <w:pPr>
        <w:pStyle w:val="2"/>
        <w:jc w:val="center"/>
        <w:rPr>
          <w:rStyle w:val="20"/>
          <w:b/>
          <w:color w:val="000000"/>
          <w:sz w:val="24"/>
          <w:szCs w:val="24"/>
          <w:lang w:val="uk-UA" w:eastAsia="uk-UA"/>
        </w:rPr>
      </w:pPr>
      <w:r>
        <w:rPr>
          <w:rStyle w:val="20"/>
          <w:b/>
          <w:color w:val="000000"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</w:t>
      </w:r>
    </w:p>
    <w:p w:rsidR="00345891" w:rsidRDefault="00345891">
      <w:pPr>
        <w:pStyle w:val="2"/>
        <w:rPr>
          <w:b w:val="0"/>
          <w:bCs w:val="0"/>
          <w:color w:val="000000"/>
          <w:sz w:val="24"/>
          <w:szCs w:val="24"/>
          <w:lang w:val="uk-UA" w:eastAsia="uk-UA"/>
        </w:rPr>
      </w:pPr>
    </w:p>
    <w:p w:rsidR="00345891" w:rsidRDefault="006A3AFF">
      <w:pPr>
        <w:ind w:left="-567" w:right="-284"/>
        <w:jc w:val="center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Код ДК 021:2015-</w:t>
      </w:r>
      <w:r>
        <w:rPr>
          <w:b/>
          <w:sz w:val="24"/>
          <w:szCs w:val="24"/>
          <w:lang w:val="uk-UA" w:eastAsia="ru-RU"/>
        </w:rPr>
        <w:t>50410000-2</w:t>
      </w:r>
      <w:r>
        <w:rPr>
          <w:b/>
          <w:sz w:val="24"/>
          <w:szCs w:val="24"/>
          <w:lang w:val="uk-UA"/>
        </w:rPr>
        <w:t xml:space="preserve"> Послуги з ремонту і технічного обслуговування вимірювальних, випробувальних і контрольних приладів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(Послуги з поточного ремон</w:t>
      </w:r>
      <w:bookmarkStart w:id="0" w:name="_GoBack"/>
      <w:bookmarkEnd w:id="0"/>
      <w:r>
        <w:rPr>
          <w:b/>
          <w:bCs/>
          <w:sz w:val="24"/>
          <w:szCs w:val="24"/>
          <w:lang w:val="uk-UA"/>
        </w:rPr>
        <w:t xml:space="preserve">ту, технічного обслуговування, калібрування та повірки газоаналізаторів </w:t>
      </w:r>
      <w:proofErr w:type="spellStart"/>
      <w:r>
        <w:rPr>
          <w:b/>
          <w:bCs/>
          <w:sz w:val="24"/>
          <w:szCs w:val="24"/>
          <w:lang w:val="uk-UA"/>
        </w:rPr>
        <w:t>Dräger</w:t>
      </w:r>
      <w:proofErr w:type="spellEnd"/>
      <w:r>
        <w:rPr>
          <w:b/>
          <w:bCs/>
          <w:sz w:val="24"/>
          <w:szCs w:val="24"/>
          <w:lang w:val="uk-UA"/>
        </w:rPr>
        <w:t xml:space="preserve"> X-</w:t>
      </w:r>
      <w:proofErr w:type="spellStart"/>
      <w:r>
        <w:rPr>
          <w:b/>
          <w:bCs/>
          <w:sz w:val="24"/>
          <w:szCs w:val="24"/>
          <w:lang w:val="uk-UA"/>
        </w:rPr>
        <w:t>am</w:t>
      </w:r>
      <w:proofErr w:type="spellEnd"/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 w:eastAsia="ru-RU"/>
        </w:rPr>
        <w:t>з видачою свідоцтва</w:t>
      </w:r>
      <w:r>
        <w:rPr>
          <w:b/>
          <w:bCs/>
          <w:sz w:val="24"/>
          <w:szCs w:val="24"/>
          <w:lang w:val="uk-UA" w:eastAsia="ru-RU"/>
        </w:rPr>
        <w:t>)</w:t>
      </w:r>
      <w:r>
        <w:rPr>
          <w:b/>
          <w:bCs/>
          <w:sz w:val="24"/>
          <w:szCs w:val="24"/>
          <w:lang w:val="uk-UA"/>
        </w:rPr>
        <w:t xml:space="preserve"> </w:t>
      </w:r>
    </w:p>
    <w:p w:rsidR="00345891" w:rsidRDefault="00345891">
      <w:pPr>
        <w:ind w:left="-567" w:right="-284"/>
        <w:jc w:val="center"/>
        <w:rPr>
          <w:sz w:val="24"/>
          <w:szCs w:val="24"/>
          <w:lang w:val="uk-UA"/>
        </w:rPr>
      </w:pPr>
    </w:p>
    <w:p w:rsidR="00345891" w:rsidRDefault="006A3AFF">
      <w:pPr>
        <w:pStyle w:val="2"/>
        <w:numPr>
          <w:ilvl w:val="0"/>
          <w:numId w:val="16"/>
        </w:numPr>
        <w:rPr>
          <w:rStyle w:val="20"/>
          <w:b/>
          <w:bCs/>
          <w:color w:val="000000"/>
          <w:kern w:val="2"/>
          <w:sz w:val="24"/>
          <w:szCs w:val="24"/>
          <w:u w:val="single"/>
          <w:lang w:val="uk-UA" w:eastAsia="uk-UA"/>
        </w:rPr>
      </w:pPr>
      <w:r>
        <w:rPr>
          <w:rStyle w:val="20"/>
          <w:b/>
          <w:bCs/>
          <w:color w:val="000000"/>
          <w:kern w:val="2"/>
          <w:sz w:val="24"/>
          <w:szCs w:val="24"/>
          <w:u w:val="single"/>
          <w:lang w:val="uk-UA" w:eastAsia="uk-UA"/>
        </w:rPr>
        <w:t xml:space="preserve">Обсяги та предмет </w:t>
      </w:r>
      <w:r>
        <w:rPr>
          <w:rStyle w:val="20"/>
          <w:b/>
          <w:bCs/>
          <w:color w:val="000000"/>
          <w:kern w:val="2"/>
          <w:sz w:val="24"/>
          <w:szCs w:val="24"/>
          <w:u w:val="single"/>
          <w:lang w:val="uk-UA" w:eastAsia="uk-UA"/>
        </w:rPr>
        <w:t>закупівлі:</w:t>
      </w:r>
    </w:p>
    <w:tbl>
      <w:tblPr>
        <w:tblStyle w:val="ad"/>
        <w:tblW w:w="10343" w:type="dxa"/>
        <w:jc w:val="center"/>
        <w:tblLook w:val="04A0" w:firstRow="1" w:lastRow="0" w:firstColumn="1" w:lastColumn="0" w:noHBand="0" w:noVBand="1"/>
      </w:tblPr>
      <w:tblGrid>
        <w:gridCol w:w="540"/>
        <w:gridCol w:w="4275"/>
        <w:gridCol w:w="1443"/>
        <w:gridCol w:w="4085"/>
      </w:tblGrid>
      <w:tr w:rsidR="00345891">
        <w:trPr>
          <w:trHeight w:val="461"/>
          <w:jc w:val="center"/>
        </w:trPr>
        <w:tc>
          <w:tcPr>
            <w:tcW w:w="540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0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275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0"/>
                <w:color w:val="000000"/>
                <w:sz w:val="24"/>
                <w:szCs w:val="24"/>
                <w:lang w:val="uk-UA" w:eastAsia="uk-UA"/>
              </w:rPr>
              <w:t>Перелік послуг</w:t>
            </w:r>
          </w:p>
        </w:tc>
        <w:tc>
          <w:tcPr>
            <w:tcW w:w="1443" w:type="dxa"/>
          </w:tcPr>
          <w:p w:rsidR="00345891" w:rsidRDefault="006A3AFF">
            <w:pPr>
              <w:pStyle w:val="2"/>
              <w:jc w:val="center"/>
              <w:rPr>
                <w:rStyle w:val="2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0"/>
                <w:color w:val="000000"/>
                <w:sz w:val="24"/>
                <w:szCs w:val="24"/>
                <w:lang w:val="uk-UA" w:eastAsia="uk-UA"/>
              </w:rPr>
              <w:t>Кількість послуг</w:t>
            </w:r>
          </w:p>
        </w:tc>
        <w:tc>
          <w:tcPr>
            <w:tcW w:w="4085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0"/>
                <w:color w:val="000000"/>
                <w:sz w:val="24"/>
                <w:szCs w:val="24"/>
                <w:lang w:val="uk-UA" w:eastAsia="uk-UA"/>
              </w:rPr>
              <w:t>О</w:t>
            </w:r>
            <w:r>
              <w:rPr>
                <w:rStyle w:val="20"/>
                <w:szCs w:val="24"/>
                <w:lang w:val="uk-UA" w:eastAsia="uk-UA"/>
              </w:rPr>
              <w:t>бсяг послуг</w:t>
            </w:r>
          </w:p>
        </w:tc>
      </w:tr>
      <w:tr w:rsidR="00345891">
        <w:trPr>
          <w:jc w:val="center"/>
        </w:trPr>
        <w:tc>
          <w:tcPr>
            <w:tcW w:w="540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0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75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Послуга з поточного ремонту, технічного обслуговування, калібрування та повірки газоаналізаторів 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Dräger</w:t>
            </w:r>
            <w:proofErr w:type="spellEnd"/>
            <w:r>
              <w:rPr>
                <w:b w:val="0"/>
                <w:sz w:val="24"/>
                <w:szCs w:val="24"/>
                <w:lang w:val="uk-UA" w:eastAsia="ru-RU"/>
              </w:rPr>
              <w:t xml:space="preserve"> X-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am</w:t>
            </w:r>
            <w:proofErr w:type="spellEnd"/>
            <w:r>
              <w:rPr>
                <w:b w:val="0"/>
                <w:sz w:val="24"/>
                <w:szCs w:val="24"/>
                <w:lang w:val="uk-UA" w:eastAsia="ru-RU"/>
              </w:rPr>
              <w:t xml:space="preserve"> 5000 </w:t>
            </w:r>
            <w:r>
              <w:rPr>
                <w:b w:val="0"/>
                <w:sz w:val="24"/>
                <w:szCs w:val="24"/>
                <w:lang w:val="uk-UA" w:eastAsia="ru-RU"/>
              </w:rPr>
              <w:br/>
              <w:t>(S/N: ARKD-0590)</w:t>
            </w:r>
            <w:r>
              <w:rPr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 w:eastAsia="ru-RU"/>
              </w:rPr>
              <w:t xml:space="preserve">з видачою свідоцтва,1 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43" w:type="dxa"/>
            <w:vAlign w:val="center"/>
          </w:tcPr>
          <w:p w:rsidR="00345891" w:rsidRDefault="006A3AFF">
            <w:pPr>
              <w:pStyle w:val="2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1</w:t>
            </w:r>
            <w:r>
              <w:rPr>
                <w:b w:val="0"/>
                <w:lang w:val="uk-UA" w:eastAsia="ru-RU"/>
              </w:rPr>
              <w:t xml:space="preserve"> послуга</w:t>
            </w:r>
          </w:p>
        </w:tc>
        <w:tc>
          <w:tcPr>
            <w:tcW w:w="4085" w:type="dxa"/>
            <w:vAlign w:val="center"/>
          </w:tcPr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Технічне обслуговування, </w:t>
            </w:r>
            <w:r>
              <w:rPr>
                <w:b w:val="0"/>
                <w:sz w:val="24"/>
                <w:szCs w:val="24"/>
                <w:lang w:val="uk-UA" w:eastAsia="ru-RU"/>
              </w:rPr>
              <w:t>оновлення ПЗ;</w:t>
            </w:r>
          </w:p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Заміна сенсора NO2;</w:t>
            </w:r>
          </w:p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Заміна акумуляторної батареї;</w:t>
            </w:r>
          </w:p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rStyle w:val="20"/>
                <w:bCs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Калібрування та оформлення результатів повірки з видачою свідоцтва.</w:t>
            </w:r>
          </w:p>
        </w:tc>
      </w:tr>
      <w:tr w:rsidR="00345891">
        <w:trPr>
          <w:trHeight w:val="1505"/>
          <w:jc w:val="center"/>
        </w:trPr>
        <w:tc>
          <w:tcPr>
            <w:tcW w:w="540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0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75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Послуга з поточного ремонту, технічного обслуговування, калібрування та повірки газоаналізаторів 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Dräger</w:t>
            </w:r>
            <w:proofErr w:type="spellEnd"/>
            <w:r>
              <w:rPr>
                <w:b w:val="0"/>
                <w:sz w:val="24"/>
                <w:szCs w:val="24"/>
                <w:lang w:val="uk-UA" w:eastAsia="ru-RU"/>
              </w:rPr>
              <w:t xml:space="preserve"> X-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am</w:t>
            </w:r>
            <w:proofErr w:type="spellEnd"/>
            <w:r>
              <w:rPr>
                <w:b w:val="0"/>
                <w:sz w:val="24"/>
                <w:szCs w:val="24"/>
                <w:lang w:val="uk-UA" w:eastAsia="ru-RU"/>
              </w:rPr>
              <w:t xml:space="preserve"> 5600</w:t>
            </w:r>
            <w:r>
              <w:rPr>
                <w:b w:val="0"/>
                <w:sz w:val="24"/>
                <w:szCs w:val="24"/>
                <w:lang w:val="uk-UA" w:eastAsia="ru-RU"/>
              </w:rPr>
              <w:br/>
            </w:r>
            <w:r>
              <w:rPr>
                <w:b w:val="0"/>
                <w:sz w:val="24"/>
                <w:szCs w:val="24"/>
                <w:lang w:val="uk-UA" w:eastAsia="ru-RU"/>
              </w:rPr>
              <w:t xml:space="preserve"> (S/N: ARKF-0140) з видачою свідоцтва, 1шт</w:t>
            </w:r>
          </w:p>
        </w:tc>
        <w:tc>
          <w:tcPr>
            <w:tcW w:w="1443" w:type="dxa"/>
            <w:vAlign w:val="center"/>
          </w:tcPr>
          <w:p w:rsidR="00345891" w:rsidRDefault="006A3AFF">
            <w:pPr>
              <w:pStyle w:val="2"/>
              <w:jc w:val="center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1 послуга</w:t>
            </w:r>
          </w:p>
        </w:tc>
        <w:tc>
          <w:tcPr>
            <w:tcW w:w="4085" w:type="dxa"/>
            <w:vAlign w:val="center"/>
          </w:tcPr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Технічне обслуговування, оновлення ПЗ;</w:t>
            </w:r>
          </w:p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Заміна сенсора Cl2; </w:t>
            </w:r>
          </w:p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Калібрування та оформлення результатів повірки з видачою свідоцтва.</w:t>
            </w:r>
          </w:p>
        </w:tc>
      </w:tr>
      <w:tr w:rsidR="00345891">
        <w:trPr>
          <w:trHeight w:val="1484"/>
          <w:jc w:val="center"/>
        </w:trPr>
        <w:tc>
          <w:tcPr>
            <w:tcW w:w="540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0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75" w:type="dxa"/>
            <w:vAlign w:val="center"/>
          </w:tcPr>
          <w:p w:rsidR="00345891" w:rsidRDefault="006A3AFF">
            <w:pPr>
              <w:pStyle w:val="2"/>
              <w:jc w:val="center"/>
              <w:rPr>
                <w:rStyle w:val="20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Послуга з технічного обслуговування, калібрування та повірки </w:t>
            </w:r>
            <w:r>
              <w:rPr>
                <w:b w:val="0"/>
                <w:sz w:val="24"/>
                <w:szCs w:val="24"/>
                <w:lang w:val="uk-UA" w:eastAsia="ru-RU"/>
              </w:rPr>
              <w:t xml:space="preserve">газоаналізаторів 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Dräger</w:t>
            </w:r>
            <w:proofErr w:type="spellEnd"/>
            <w:r>
              <w:rPr>
                <w:b w:val="0"/>
                <w:sz w:val="24"/>
                <w:szCs w:val="24"/>
                <w:lang w:val="uk-UA" w:eastAsia="ru-RU"/>
              </w:rPr>
              <w:t xml:space="preserve"> X-</w:t>
            </w:r>
            <w:proofErr w:type="spellStart"/>
            <w:r>
              <w:rPr>
                <w:b w:val="0"/>
                <w:sz w:val="24"/>
                <w:szCs w:val="24"/>
                <w:lang w:val="uk-UA" w:eastAsia="ru-RU"/>
              </w:rPr>
              <w:t>am</w:t>
            </w:r>
            <w:proofErr w:type="spellEnd"/>
            <w:r>
              <w:rPr>
                <w:b w:val="0"/>
                <w:sz w:val="24"/>
                <w:szCs w:val="24"/>
                <w:lang w:val="uk-UA" w:eastAsia="ru-RU"/>
              </w:rPr>
              <w:t xml:space="preserve"> 7000</w:t>
            </w:r>
            <w:r>
              <w:rPr>
                <w:b w:val="0"/>
                <w:sz w:val="24"/>
                <w:szCs w:val="24"/>
                <w:lang w:val="uk-UA" w:eastAsia="ru-RU"/>
              </w:rPr>
              <w:br/>
              <w:t xml:space="preserve"> (S/N: ARKD-0142) з видачою свідоцтва, 1шт</w:t>
            </w:r>
          </w:p>
        </w:tc>
        <w:tc>
          <w:tcPr>
            <w:tcW w:w="1443" w:type="dxa"/>
            <w:vAlign w:val="center"/>
          </w:tcPr>
          <w:p w:rsidR="00345891" w:rsidRDefault="006A3AFF">
            <w:pPr>
              <w:pStyle w:val="2"/>
              <w:rPr>
                <w:b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1 послуга</w:t>
            </w:r>
          </w:p>
        </w:tc>
        <w:tc>
          <w:tcPr>
            <w:tcW w:w="4085" w:type="dxa"/>
            <w:vAlign w:val="center"/>
          </w:tcPr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 xml:space="preserve">Технічне обслуговування; </w:t>
            </w:r>
          </w:p>
          <w:p w:rsidR="00345891" w:rsidRDefault="006A3AFF">
            <w:pPr>
              <w:pStyle w:val="2"/>
              <w:numPr>
                <w:ilvl w:val="0"/>
                <w:numId w:val="15"/>
              </w:numPr>
              <w:rPr>
                <w:sz w:val="24"/>
                <w:szCs w:val="24"/>
                <w:lang w:val="uk-UA" w:eastAsia="ru-RU"/>
              </w:rPr>
            </w:pPr>
            <w:r>
              <w:rPr>
                <w:b w:val="0"/>
                <w:sz w:val="24"/>
                <w:szCs w:val="24"/>
                <w:lang w:val="uk-UA" w:eastAsia="ru-RU"/>
              </w:rPr>
              <w:t>Калібрування та оформлення результатів повірки з видачою свідоцтва.</w:t>
            </w:r>
          </w:p>
        </w:tc>
      </w:tr>
    </w:tbl>
    <w:p w:rsidR="00345891" w:rsidRDefault="00345891">
      <w:pPr>
        <w:spacing w:line="271" w:lineRule="auto"/>
        <w:ind w:right="-2"/>
        <w:rPr>
          <w:color w:val="000000"/>
          <w:sz w:val="24"/>
          <w:szCs w:val="24"/>
          <w:lang w:val="uk-UA" w:eastAsia="uk-UA"/>
        </w:rPr>
      </w:pPr>
    </w:p>
    <w:p w:rsidR="00345891" w:rsidRDefault="006A3AFF">
      <w:pPr>
        <w:ind w:right="-2"/>
        <w:jc w:val="both"/>
        <w:rPr>
          <w:color w:val="000000"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u w:val="single"/>
          <w:lang w:val="uk-UA"/>
        </w:rPr>
        <w:t xml:space="preserve">2. </w:t>
      </w:r>
      <w:r>
        <w:rPr>
          <w:b/>
          <w:bCs/>
          <w:sz w:val="24"/>
          <w:szCs w:val="24"/>
          <w:u w:val="single"/>
          <w:lang w:val="uk-UA" w:eastAsia="uk-UA"/>
        </w:rPr>
        <w:t>Строк надання послуг, виконання робіт:</w:t>
      </w:r>
      <w:r>
        <w:rPr>
          <w:color w:val="000000"/>
          <w:sz w:val="24"/>
          <w:szCs w:val="24"/>
          <w:lang w:val="uk-UA" w:eastAsia="uk-UA"/>
        </w:rPr>
        <w:t xml:space="preserve"> згідно умов договору, але не п</w:t>
      </w:r>
      <w:r>
        <w:rPr>
          <w:color w:val="000000"/>
          <w:sz w:val="24"/>
          <w:szCs w:val="24"/>
          <w:lang w:val="uk-UA" w:eastAsia="uk-UA"/>
        </w:rPr>
        <w:t>ізніше 25.12.2024 р.</w:t>
      </w:r>
    </w:p>
    <w:p w:rsidR="00345891" w:rsidRDefault="006A3AFF">
      <w:pPr>
        <w:ind w:right="-2"/>
        <w:jc w:val="both"/>
        <w:rPr>
          <w:color w:val="000000"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u w:val="single"/>
          <w:lang w:val="uk-UA"/>
        </w:rPr>
        <w:t xml:space="preserve">3. </w:t>
      </w:r>
      <w:r>
        <w:rPr>
          <w:b/>
          <w:bCs/>
          <w:sz w:val="24"/>
          <w:szCs w:val="24"/>
          <w:u w:val="single"/>
          <w:lang w:val="uk-UA" w:eastAsia="uk-UA"/>
        </w:rPr>
        <w:t>Місце надання послуг, виконання робіт: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місце надання послуг: за місцем знаходження технічної бази Виконавця.</w:t>
      </w:r>
    </w:p>
    <w:p w:rsidR="00345891" w:rsidRDefault="006A3AFF">
      <w:pPr>
        <w:ind w:right="-2"/>
        <w:jc w:val="both"/>
        <w:rPr>
          <w:b/>
          <w:bCs/>
          <w:sz w:val="24"/>
          <w:szCs w:val="24"/>
          <w:u w:val="single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ab/>
      </w:r>
      <w:r>
        <w:rPr>
          <w:b/>
          <w:bCs/>
          <w:sz w:val="24"/>
          <w:szCs w:val="24"/>
          <w:u w:val="single"/>
          <w:lang w:val="uk-UA" w:eastAsia="uk-UA"/>
        </w:rPr>
        <w:t>4. Загальні вимоги:</w:t>
      </w:r>
    </w:p>
    <w:p w:rsidR="00345891" w:rsidRDefault="006A3AFF">
      <w:pPr>
        <w:ind w:right="-2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4.1. За результатами проведення послуг з повірки засобів вимірювальної техніки видається сертифікат </w:t>
      </w:r>
      <w:r>
        <w:rPr>
          <w:color w:val="000000"/>
          <w:sz w:val="24"/>
          <w:szCs w:val="24"/>
          <w:lang w:val="uk-UA" w:eastAsia="uk-UA"/>
        </w:rPr>
        <w:t>або свідоцтво про калібрування.</w:t>
      </w:r>
    </w:p>
    <w:p w:rsidR="00345891" w:rsidRDefault="006A3AFF">
      <w:pPr>
        <w:ind w:right="-2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4.2. У разі виникнення недоліків з наданих послуг під час прийняття приладів Замовником, безкоштовне усунення цих недоліків.</w:t>
      </w:r>
    </w:p>
    <w:p w:rsidR="00345891" w:rsidRDefault="006A3AFF">
      <w:pPr>
        <w:ind w:right="-2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4.3. Виконавець відповідає за одержання ліцензії або дозволів та самостійно несе всі витрати на отр</w:t>
      </w:r>
      <w:r>
        <w:rPr>
          <w:bCs/>
          <w:sz w:val="24"/>
          <w:szCs w:val="24"/>
          <w:lang w:val="uk-UA" w:eastAsia="uk-UA"/>
        </w:rPr>
        <w:t>имання дозволів, ліцензій, сертифікатів.</w:t>
      </w:r>
    </w:p>
    <w:p w:rsidR="00345891" w:rsidRDefault="006A3AFF">
      <w:pPr>
        <w:ind w:right="-2"/>
        <w:jc w:val="both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4.4.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:rsidR="00345891" w:rsidRDefault="006A3AFF">
      <w:pPr>
        <w:jc w:val="both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u w:val="single"/>
          <w:lang w:val="uk-UA"/>
        </w:rPr>
        <w:t>5. Витрати які учасник включає в ціну товару:</w:t>
      </w:r>
    </w:p>
    <w:p w:rsidR="00345891" w:rsidRDefault="006A3AF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5.1. </w:t>
      </w:r>
      <w:r>
        <w:rPr>
          <w:sz w:val="24"/>
          <w:szCs w:val="24"/>
          <w:lang w:val="uk-UA"/>
        </w:rPr>
        <w:t>Транспортні послуги та інші витрати (пакування, доставка, страхування тощо) повинні здійснюватися за рахунок Виконавця.</w:t>
      </w:r>
    </w:p>
    <w:p w:rsidR="00345891" w:rsidRDefault="006A3AF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5.2. Ціна Послуг повинна враховувати усі податки та збори, що сплачуються або мають бути сплачені стосовно запропонованих послуг, з </w:t>
      </w:r>
      <w:r>
        <w:rPr>
          <w:sz w:val="24"/>
          <w:szCs w:val="24"/>
          <w:lang w:val="uk-UA"/>
        </w:rPr>
        <w:t>урахуванням усіх витрат вартості запасних частин, витратних матеріалів.</w:t>
      </w:r>
    </w:p>
    <w:p w:rsidR="00345891" w:rsidRDefault="006A3AFF">
      <w:pPr>
        <w:pStyle w:val="2"/>
        <w:rPr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uk-UA"/>
        </w:rPr>
        <w:tab/>
      </w:r>
      <w:r>
        <w:rPr>
          <w:color w:val="000000"/>
          <w:sz w:val="24"/>
          <w:szCs w:val="24"/>
          <w:u w:val="single"/>
          <w:lang w:val="uk-UA" w:eastAsia="uk-UA"/>
        </w:rPr>
        <w:t>6. Вимоги до</w:t>
      </w:r>
      <w:r>
        <w:rPr>
          <w:color w:val="000000"/>
          <w:sz w:val="24"/>
          <w:szCs w:val="24"/>
          <w:u w:val="single"/>
          <w:lang w:val="uk-UA" w:eastAsia="ru-RU"/>
        </w:rPr>
        <w:t xml:space="preserve"> </w:t>
      </w:r>
      <w:r>
        <w:rPr>
          <w:color w:val="000000"/>
          <w:sz w:val="24"/>
          <w:szCs w:val="24"/>
          <w:u w:val="single"/>
          <w:lang w:val="uk-UA" w:eastAsia="uk-UA"/>
        </w:rPr>
        <w:t>якості послуг, що закуповуються:</w:t>
      </w:r>
    </w:p>
    <w:p w:rsidR="00345891" w:rsidRDefault="006A3AFF">
      <w:pPr>
        <w:pStyle w:val="Standard"/>
        <w:jc w:val="both"/>
        <w:rPr>
          <w:rFonts w:ascii="Times New Roman" w:hAnsi="Times New Roman"/>
          <w:lang w:val="uk-UA" w:eastAsia="en-US" w:bidi="ar-SA"/>
        </w:rPr>
      </w:pPr>
      <w:r>
        <w:rPr>
          <w:rFonts w:ascii="Times New Roman" w:hAnsi="Times New Roman"/>
          <w:lang w:val="uk-UA" w:eastAsia="en-US" w:bidi="ar-SA"/>
        </w:rPr>
        <w:t xml:space="preserve">6.1. Послуги з повірки засобів вимірювальної техніки надаються акредитованими лабораторіями Учасника згідно з вимогами Закону України </w:t>
      </w:r>
      <w:r>
        <w:rPr>
          <w:rFonts w:ascii="Times New Roman" w:hAnsi="Times New Roman"/>
          <w:lang w:val="uk-UA" w:eastAsia="en-US" w:bidi="ar-SA"/>
        </w:rPr>
        <w:t>«Про метрологію та метрологічну діяльність», ДСТУ ISO/IEC 17025 «Загальні вимоги до компетентності випробувальних та калібрувальних лабораторій» і відповідно до чинної нормативної документації у сфері метрології та діючих документів щодо методики проведенн</w:t>
      </w:r>
      <w:r>
        <w:rPr>
          <w:rFonts w:ascii="Times New Roman" w:hAnsi="Times New Roman"/>
          <w:lang w:val="uk-UA" w:eastAsia="en-US" w:bidi="ar-SA"/>
        </w:rPr>
        <w:t>я повірки.</w:t>
      </w:r>
    </w:p>
    <w:p w:rsidR="00345891" w:rsidRDefault="006A3AFF">
      <w:pPr>
        <w:pStyle w:val="Standard"/>
        <w:jc w:val="both"/>
        <w:rPr>
          <w:rFonts w:ascii="Times New Roman" w:hAnsi="Times New Roman"/>
          <w:lang w:val="uk-UA" w:eastAsia="en-US" w:bidi="ar-SA"/>
        </w:rPr>
      </w:pPr>
      <w:r>
        <w:rPr>
          <w:rFonts w:ascii="Times New Roman" w:hAnsi="Times New Roman"/>
          <w:lang w:val="uk-UA" w:eastAsia="en-US" w:bidi="ar-SA"/>
        </w:rPr>
        <w:t>6.2. Лабораторія повірки засобів вимірювальної техніки Учасника повинна бути акредитована Національним агентством з акредитацій України на відповідність вимогам ДСТУ ISO/IEC 17025 «Загальні вимоги до компетентності випробувальних та калібрувальн</w:t>
      </w:r>
      <w:r>
        <w:rPr>
          <w:rFonts w:ascii="Times New Roman" w:hAnsi="Times New Roman"/>
          <w:lang w:val="uk-UA" w:eastAsia="en-US" w:bidi="ar-SA"/>
        </w:rPr>
        <w:t xml:space="preserve">их лабораторій», мати чинний атестат про акредитацію зі сферою (зареєстрований у НААУ) або інший документ, що підтверджує відповідність вимогам ДСТУ ISO/IEC 17025  «Загальні вимоги до компетентності випробувальних та калібрувальних лабораторій» та повинна </w:t>
      </w:r>
      <w:r>
        <w:rPr>
          <w:rFonts w:ascii="Times New Roman" w:hAnsi="Times New Roman"/>
          <w:lang w:val="uk-UA" w:eastAsia="en-US" w:bidi="ar-SA"/>
        </w:rPr>
        <w:t>бути компетентна щодо проведення послуг з повірки засобів вимірювальної техніки та устаткування, заявлених на повірці.</w:t>
      </w:r>
    </w:p>
    <w:p w:rsidR="00345891" w:rsidRDefault="006A3AF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 Всі послуги з метрологічного забезпечення (повірки законодавчо регульованих засобів вимірювальної техніки), які пропонує Учасник пов</w:t>
      </w:r>
      <w:r>
        <w:rPr>
          <w:sz w:val="24"/>
          <w:szCs w:val="24"/>
          <w:lang w:val="uk-UA"/>
        </w:rPr>
        <w:t xml:space="preserve">инні надаватись згідно з вимогами ДСТУ ISO/IEС 17025 «Загальні вимоги до компетентності  випробувальних та калібрувальних лабораторій», Закону України «Про метрологію та метрологічну діяльність», наказу </w:t>
      </w:r>
      <w:proofErr w:type="spellStart"/>
      <w:r>
        <w:rPr>
          <w:sz w:val="24"/>
          <w:szCs w:val="24"/>
          <w:lang w:val="uk-UA"/>
        </w:rPr>
        <w:t>Мінекономрозвитку</w:t>
      </w:r>
      <w:proofErr w:type="spellEnd"/>
      <w:r>
        <w:rPr>
          <w:sz w:val="24"/>
          <w:szCs w:val="24"/>
          <w:lang w:val="uk-UA"/>
        </w:rPr>
        <w:t xml:space="preserve"> України «Про затвердження Порядку п</w:t>
      </w:r>
      <w:r>
        <w:rPr>
          <w:sz w:val="24"/>
          <w:szCs w:val="24"/>
          <w:lang w:val="uk-UA"/>
        </w:rPr>
        <w:t>роведення повірки законодавчо регульованих засобів вимірювальної техніки, що перебувають в експлуатації, та оформлення її результатів» від 08.02.2016 № 193 та діючим документам на методики повірки, калібрування та іншим нормативним документам у сфері метро</w:t>
      </w:r>
      <w:r>
        <w:rPr>
          <w:sz w:val="24"/>
          <w:szCs w:val="24"/>
          <w:lang w:val="uk-UA"/>
        </w:rPr>
        <w:t>логічної діяльності, що діють на території України.</w:t>
      </w:r>
    </w:p>
    <w:p w:rsidR="00345891" w:rsidRDefault="006A3AFF">
      <w:pPr>
        <w:tabs>
          <w:tab w:val="left" w:pos="102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 Після проведення повірки ЗВТ, учасник повинен надати замовнику Свідоцтво про повірку законодавчо регульованого засобу вимірювальної техніки встановленого зразка з печаткою повірника, та відбитком тав</w:t>
      </w:r>
      <w:r>
        <w:rPr>
          <w:sz w:val="24"/>
          <w:szCs w:val="24"/>
          <w:lang w:val="uk-UA"/>
        </w:rPr>
        <w:t>ра або пломби повірника.</w:t>
      </w:r>
    </w:p>
    <w:p w:rsidR="00345891" w:rsidRDefault="006A3AFF">
      <w:pPr>
        <w:tabs>
          <w:tab w:val="left" w:pos="102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6.5. У разі визнання повірником ЗВТ непридатним до подальшої експлуатації, оформляється Довідка про непридатність законодавчо регульованого засобу вимірювальної техніки встановленого зразка з печаткою повірника та відбитком </w:t>
      </w:r>
      <w:proofErr w:type="spellStart"/>
      <w:r>
        <w:rPr>
          <w:sz w:val="24"/>
          <w:szCs w:val="24"/>
          <w:lang w:val="uk-UA"/>
        </w:rPr>
        <w:t>повіроч</w:t>
      </w:r>
      <w:r>
        <w:rPr>
          <w:sz w:val="24"/>
          <w:szCs w:val="24"/>
          <w:lang w:val="uk-UA"/>
        </w:rPr>
        <w:t>ного</w:t>
      </w:r>
      <w:proofErr w:type="spellEnd"/>
      <w:r>
        <w:rPr>
          <w:sz w:val="24"/>
          <w:szCs w:val="24"/>
          <w:lang w:val="uk-UA"/>
        </w:rPr>
        <w:t xml:space="preserve"> тавра.</w:t>
      </w:r>
    </w:p>
    <w:p w:rsidR="00345891" w:rsidRDefault="006A3AFF">
      <w:pPr>
        <w:tabs>
          <w:tab w:val="left" w:pos="102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6.6. Після проведення калібрування видається сертифікат про калібрування законодавчо регульованого засобу вимірювальної техніки встановленого зразка з печаткою виконавця який проводив калібрування.</w:t>
      </w:r>
    </w:p>
    <w:p w:rsidR="00345891" w:rsidRDefault="006A3AFF">
      <w:pPr>
        <w:tabs>
          <w:tab w:val="left" w:pos="102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6.7. Обладнання яке буде використовуватись для</w:t>
      </w:r>
      <w:r>
        <w:rPr>
          <w:sz w:val="24"/>
          <w:szCs w:val="24"/>
          <w:lang w:val="uk-UA"/>
        </w:rPr>
        <w:t xml:space="preserve"> калібрування повинно мати чинні сертифікати калібрування на момент проведення тендеру.</w:t>
      </w:r>
    </w:p>
    <w:p w:rsidR="00345891" w:rsidRDefault="006A3AFF">
      <w:pPr>
        <w:tabs>
          <w:tab w:val="left" w:pos="102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6.8. </w:t>
      </w:r>
      <w:r>
        <w:rPr>
          <w:b/>
          <w:sz w:val="24"/>
          <w:szCs w:val="24"/>
          <w:lang w:val="uk-UA"/>
        </w:rPr>
        <w:t>Учасник, у складі тендерної пропозиції повинен надати Сертифікат  про набуття спеціалізованих знань з використанням (експлуатації) необхідних для обслуговування пр</w:t>
      </w:r>
      <w:r>
        <w:rPr>
          <w:b/>
          <w:sz w:val="24"/>
          <w:szCs w:val="24"/>
          <w:lang w:val="uk-UA"/>
        </w:rPr>
        <w:t xml:space="preserve">истроїв </w:t>
      </w:r>
      <w:proofErr w:type="spellStart"/>
      <w:r>
        <w:rPr>
          <w:b/>
          <w:sz w:val="24"/>
          <w:szCs w:val="24"/>
          <w:lang w:val="uk-UA" w:eastAsia="ru-RU"/>
        </w:rPr>
        <w:t>Dräger</w:t>
      </w:r>
      <w:proofErr w:type="spellEnd"/>
      <w:r>
        <w:rPr>
          <w:b/>
          <w:sz w:val="24"/>
          <w:szCs w:val="24"/>
          <w:lang w:val="uk-UA" w:eastAsia="ru-RU"/>
        </w:rPr>
        <w:t xml:space="preserve"> X-</w:t>
      </w:r>
      <w:proofErr w:type="spellStart"/>
      <w:r>
        <w:rPr>
          <w:b/>
          <w:sz w:val="24"/>
          <w:szCs w:val="24"/>
          <w:lang w:val="uk-UA" w:eastAsia="ru-RU"/>
        </w:rPr>
        <w:t>am</w:t>
      </w:r>
      <w:proofErr w:type="spellEnd"/>
      <w:r>
        <w:rPr>
          <w:b/>
          <w:sz w:val="24"/>
          <w:szCs w:val="24"/>
          <w:lang w:val="uk-UA" w:eastAsia="ru-RU"/>
        </w:rPr>
        <w:t>, зазначених в технічній специфікації.</w:t>
      </w:r>
    </w:p>
    <w:p w:rsidR="00345891" w:rsidRDefault="00345891">
      <w:pPr>
        <w:tabs>
          <w:tab w:val="left" w:pos="1027"/>
        </w:tabs>
        <w:jc w:val="both"/>
        <w:rPr>
          <w:sz w:val="24"/>
          <w:szCs w:val="24"/>
          <w:lang w:val="uk-UA"/>
        </w:rPr>
      </w:pPr>
    </w:p>
    <w:p w:rsidR="00AC26FC" w:rsidRPr="00AC26FC" w:rsidRDefault="00AC26FC" w:rsidP="00AC26FC">
      <w:pPr>
        <w:tabs>
          <w:tab w:val="left" w:pos="1027"/>
        </w:tabs>
        <w:jc w:val="both"/>
        <w:rPr>
          <w:sz w:val="24"/>
          <w:szCs w:val="24"/>
          <w:lang w:val="uk-UA"/>
        </w:rPr>
      </w:pPr>
    </w:p>
    <w:p w:rsidR="00AC26FC" w:rsidRPr="00AC26FC" w:rsidRDefault="00AC26FC" w:rsidP="00AC26FC">
      <w:pPr>
        <w:tabs>
          <w:tab w:val="left" w:pos="1027"/>
        </w:tabs>
        <w:jc w:val="both"/>
        <w:rPr>
          <w:sz w:val="24"/>
          <w:szCs w:val="24"/>
          <w:lang w:val="uk-UA"/>
        </w:rPr>
      </w:pPr>
      <w:r w:rsidRPr="00AC26FC">
        <w:rPr>
          <w:sz w:val="24"/>
          <w:szCs w:val="24"/>
          <w:lang w:val="uk-UA"/>
        </w:rPr>
        <w:t>_____________________________________________________________________________</w:t>
      </w:r>
    </w:p>
    <w:p w:rsidR="00345891" w:rsidRDefault="00AC26FC" w:rsidP="00AC26FC">
      <w:pPr>
        <w:tabs>
          <w:tab w:val="left" w:pos="1027"/>
        </w:tabs>
        <w:jc w:val="both"/>
        <w:rPr>
          <w:sz w:val="24"/>
          <w:szCs w:val="24"/>
          <w:lang w:val="uk-UA"/>
        </w:rPr>
      </w:pPr>
      <w:r w:rsidRPr="00AC26FC">
        <w:rPr>
          <w:sz w:val="24"/>
          <w:szCs w:val="24"/>
          <w:lang w:val="uk-UA"/>
        </w:rPr>
        <w:t>(Посада, прізвище, ініціали, підпис та дата підписання уповноваженою особою учасника)</w:t>
      </w:r>
    </w:p>
    <w:sectPr w:rsidR="0034589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charset w:val="00"/>
    <w:family w:val="auto"/>
    <w:pitch w:val="variable"/>
  </w:font>
  <w:font w:name="@Pragmatica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2C00"/>
    <w:multiLevelType w:val="hybridMultilevel"/>
    <w:tmpl w:val="1B54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173"/>
    <w:multiLevelType w:val="hybridMultilevel"/>
    <w:tmpl w:val="51221912"/>
    <w:lvl w:ilvl="0" w:tplc="0086556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C28051E"/>
    <w:multiLevelType w:val="hybridMultilevel"/>
    <w:tmpl w:val="E7822BE4"/>
    <w:lvl w:ilvl="0" w:tplc="0BCAC060">
      <w:start w:val="2"/>
      <w:numFmt w:val="bullet"/>
      <w:lvlText w:val="-"/>
      <w:lvlJc w:val="left"/>
      <w:pPr>
        <w:ind w:left="360" w:hanging="360"/>
      </w:pPr>
      <w:rPr>
        <w:rFonts w:ascii="Noto Serif CJK SC" w:hAnsi="Noto Serif CJK S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@PragmaticaC" w:hAnsi="@PragmaticaC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Calibri" w:hAnsi="Calibri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PragmaticaC" w:hAnsi="PragmaticaC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@PragmaticaC" w:hAnsi="@Pragmatica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Calibri" w:hAnsi="Calibri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PragmaticaC" w:hAnsi="PragmaticaC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@PragmaticaC" w:hAnsi="@PragmaticaC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Calibri" w:hAnsi="Calibri"/>
      </w:rPr>
    </w:lvl>
  </w:abstractNum>
  <w:abstractNum w:abstractNumId="3" w15:restartNumberingAfterBreak="0">
    <w:nsid w:val="0C490FB1"/>
    <w:multiLevelType w:val="hybridMultilevel"/>
    <w:tmpl w:val="3440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0E08"/>
    <w:multiLevelType w:val="hybridMultilevel"/>
    <w:tmpl w:val="739A62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79D183B"/>
    <w:multiLevelType w:val="hybridMultilevel"/>
    <w:tmpl w:val="D436B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5122D"/>
    <w:multiLevelType w:val="hybridMultilevel"/>
    <w:tmpl w:val="7D8E4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E6CC4"/>
    <w:multiLevelType w:val="hybridMultilevel"/>
    <w:tmpl w:val="7A1CEF88"/>
    <w:lvl w:ilvl="0" w:tplc="C87CB9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52A9F"/>
    <w:multiLevelType w:val="hybridMultilevel"/>
    <w:tmpl w:val="A4E4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0ACD"/>
    <w:multiLevelType w:val="hybridMultilevel"/>
    <w:tmpl w:val="2C88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0915"/>
    <w:multiLevelType w:val="hybridMultilevel"/>
    <w:tmpl w:val="13422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7080"/>
    <w:multiLevelType w:val="hybridMultilevel"/>
    <w:tmpl w:val="563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56992"/>
    <w:multiLevelType w:val="hybridMultilevel"/>
    <w:tmpl w:val="90F22F5A"/>
    <w:lvl w:ilvl="0" w:tplc="C87CB9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0A1B"/>
    <w:multiLevelType w:val="hybridMultilevel"/>
    <w:tmpl w:val="41CA5C0C"/>
    <w:lvl w:ilvl="0" w:tplc="52448D8C">
      <w:start w:val="1"/>
      <w:numFmt w:val="bullet"/>
      <w:lvlText w:val="-"/>
      <w:lvlJc w:val="left"/>
      <w:pPr>
        <w:ind w:left="360" w:hanging="360"/>
      </w:pPr>
      <w:rPr>
        <w:rFonts w:ascii="Noto Serif CJK SC" w:hAnsi="Noto Serif CJK SC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@PragmaticaC" w:hAnsi="@PragmaticaC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Calibri" w:hAnsi="Calibri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PragmaticaC" w:hAnsi="PragmaticaC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@PragmaticaC" w:hAnsi="@PragmaticaC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Calibri" w:hAnsi="Calibri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PragmaticaC" w:hAnsi="PragmaticaC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@PragmaticaC" w:hAnsi="@PragmaticaC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Calibri" w:hAnsi="Calibri"/>
      </w:rPr>
    </w:lvl>
  </w:abstractNum>
  <w:abstractNum w:abstractNumId="14" w15:restartNumberingAfterBreak="0">
    <w:nsid w:val="74B9375F"/>
    <w:multiLevelType w:val="hybridMultilevel"/>
    <w:tmpl w:val="2800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91900"/>
    <w:multiLevelType w:val="hybridMultilevel"/>
    <w:tmpl w:val="545EF942"/>
    <w:lvl w:ilvl="0" w:tplc="6DEA3B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91"/>
    <w:rsid w:val="00345891"/>
    <w:rsid w:val="006A3AFF"/>
    <w:rsid w:val="00A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AD21E-6E02-4105-BBF8-DCB88B0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Cambria Math" w:hAnsi="Cambria Math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  <w:szCs w:val="18"/>
    </w:rPr>
  </w:style>
  <w:style w:type="paragraph" w:customStyle="1" w:styleId="6">
    <w:name w:val="Без интервала6"/>
    <w:basedOn w:val="a"/>
    <w:rPr>
      <w:rFonts w:ascii="Calibri" w:hAnsi="Calibri"/>
      <w:sz w:val="24"/>
      <w:szCs w:val="32"/>
      <w:lang w:val="en-US"/>
    </w:rPr>
  </w:style>
  <w:style w:type="paragraph" w:styleId="a7">
    <w:name w:val="Body Text"/>
    <w:basedOn w:val="a"/>
    <w:link w:val="a8"/>
    <w:pPr>
      <w:spacing w:line="254" w:lineRule="auto"/>
      <w:ind w:firstLine="400"/>
    </w:pPr>
  </w:style>
  <w:style w:type="paragraph" w:styleId="a9">
    <w:name w:val="No Spacing"/>
    <w:qFormat/>
    <w:rPr>
      <w:kern w:val="2"/>
      <w:sz w:val="22"/>
    </w:rPr>
  </w:style>
  <w:style w:type="paragraph" w:customStyle="1" w:styleId="2">
    <w:name w:val="Основной текст (2)"/>
    <w:basedOn w:val="a"/>
    <w:link w:val="20"/>
    <w:rPr>
      <w:b/>
      <w:bCs/>
      <w:sz w:val="26"/>
      <w:szCs w:val="26"/>
    </w:rPr>
  </w:style>
  <w:style w:type="paragraph" w:customStyle="1" w:styleId="Standard">
    <w:name w:val="Standard"/>
    <w:pPr>
      <w:suppressAutoHyphens/>
    </w:pPr>
    <w:rPr>
      <w:rFonts w:ascii="Liberation Serif" w:hAnsi="Liberation Serif"/>
      <w:kern w:val="3"/>
      <w:sz w:val="24"/>
      <w:szCs w:val="24"/>
      <w:lang w:val="en-US" w:eastAsia="zh-CN" w:bidi="hi-IN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6">
    <w:name w:val="Текст у виносці Знак"/>
    <w:basedOn w:val="a0"/>
    <w:link w:val="a5"/>
    <w:semiHidden/>
    <w:rPr>
      <w:rFonts w:ascii="Segoe UI" w:hAnsi="Segoe UI"/>
      <w:sz w:val="18"/>
      <w:szCs w:val="18"/>
    </w:rPr>
  </w:style>
  <w:style w:type="character" w:customStyle="1" w:styleId="10">
    <w:name w:val="Заголовок 1 Знак"/>
    <w:basedOn w:val="a0"/>
    <w:link w:val="1"/>
    <w:rPr>
      <w:rFonts w:ascii="Cambria Math" w:hAnsi="Cambria Math"/>
      <w:b/>
      <w:bCs/>
      <w:kern w:val="36"/>
      <w:sz w:val="48"/>
      <w:szCs w:val="48"/>
      <w:lang w:eastAsia="ru-RU"/>
    </w:rPr>
  </w:style>
  <w:style w:type="character" w:customStyle="1" w:styleId="a8">
    <w:name w:val="Основний текст Знак"/>
    <w:basedOn w:val="a0"/>
    <w:link w:val="a7"/>
  </w:style>
  <w:style w:type="character" w:customStyle="1" w:styleId="ac">
    <w:name w:val="Основной текст Знак"/>
    <w:basedOn w:val="a0"/>
    <w:semiHidden/>
  </w:style>
  <w:style w:type="character" w:customStyle="1" w:styleId="20">
    <w:name w:val="Основной текст (2)_"/>
    <w:basedOn w:val="a0"/>
    <w:link w:val="2"/>
    <w:rPr>
      <w:b/>
      <w:bCs/>
      <w:sz w:val="26"/>
      <w:szCs w:val="2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Pr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A8CF-6CD3-4BBE-B4CF-0AF506F7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е р г е Й</dc:creator>
  <cp:lastModifiedBy>RePack by Diakov</cp:lastModifiedBy>
  <cp:revision>62</cp:revision>
  <cp:lastPrinted>2024-04-12T08:17:00Z</cp:lastPrinted>
  <dcterms:created xsi:type="dcterms:W3CDTF">2023-09-21T07:39:00Z</dcterms:created>
  <dcterms:modified xsi:type="dcterms:W3CDTF">2024-04-22T11:18:00Z</dcterms:modified>
</cp:coreProperties>
</file>