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Pr>
          <w:rFonts w:eastAsia="Times New Roman" w:ascii="Times New Roman" w:hAnsi="Times New Roman"/>
          <w:b w:val="false"/>
          <w:bCs w:val="false"/>
          <w:i w:val="false"/>
          <w:iCs w:val="false"/>
          <w:sz w:val="24"/>
          <w:szCs w:val="24"/>
          <w:lang w:val="uk-UA" w:eastAsia="ar-SA"/>
        </w:rPr>
        <w:t>“</w:t>
      </w:r>
      <w:r>
        <w:rPr>
          <w:rFonts w:eastAsia="Times New Roman" w:ascii="Times New Roman" w:hAnsi="Times New Roman"/>
          <w:b/>
          <w:bCs/>
          <w:i w:val="false"/>
          <w:iCs w:val="false"/>
          <w:sz w:val="24"/>
          <w:szCs w:val="24"/>
          <w:lang w:val="uk-UA" w:eastAsia="ar-SA"/>
        </w:rPr>
        <w:t>Надання послуг з організації гарячого харчування для вихованців в закладах дошкільної освіти Татарбунарської міської ради Одеської області (код ДК 021:2015 —  55510000-8 - Послуги їдалень)”:</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16"/>
              <w:jc w:val="center"/>
              <w:rPr/>
            </w:pPr>
            <w:r>
              <w:rPr/>
              <w:t>1).</w:t>
            </w:r>
          </w:p>
        </w:tc>
        <w:tc>
          <w:tcPr>
            <w:tcW w:w="7195" w:type="dxa"/>
            <w:tcBorders>
              <w:start w:val="single" w:sz="2" w:space="0" w:color="000000"/>
              <w:bottom w:val="single" w:sz="2" w:space="0" w:color="000000"/>
            </w:tcBorders>
          </w:tcPr>
          <w:p>
            <w:pPr>
              <w:pStyle w:val="Style16"/>
              <w:jc w:val="both"/>
              <w:rPr>
                <w:lang w:val="uk-UA"/>
              </w:rPr>
            </w:pPr>
            <w:r>
              <w:rPr>
                <w:lang w:val="uk-UA"/>
              </w:rPr>
              <w:t>Надання послуг з організації 3-х разового гарячого харчування вихованців дошкільного підрозділу 2 - 4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8580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2).</w:t>
            </w:r>
          </w:p>
        </w:tc>
        <w:tc>
          <w:tcPr>
            <w:tcW w:w="7195" w:type="dxa"/>
            <w:tcBorders>
              <w:start w:val="single" w:sz="2" w:space="0" w:color="000000"/>
              <w:bottom w:val="single" w:sz="2" w:space="0" w:color="000000"/>
            </w:tcBorders>
          </w:tcPr>
          <w:p>
            <w:pPr>
              <w:pStyle w:val="Style16"/>
              <w:jc w:val="both"/>
              <w:rPr>
                <w:lang w:val="uk-UA"/>
              </w:rPr>
            </w:pPr>
            <w:r>
              <w:rPr>
                <w:lang w:val="uk-UA"/>
              </w:rPr>
              <w:t xml:space="preserve">Надання послуг з організації 3-х разового гарячого харчування вихованців дошкільного підрозділу 4 - 6 років </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16588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 xml:space="preserve">Очікувана вартість не повинна перевищувати грошову норму вартості, встановлену рішенням Татарбунарської міської ради Одеської області № 1117 – VIII </w:t>
      </w:r>
      <w:r>
        <w:rPr>
          <w:rFonts w:ascii="Times New Roman" w:hAnsi="Times New Roman"/>
          <w:sz w:val="24"/>
          <w:szCs w:val="24"/>
          <w:lang w:val="uk-UA"/>
        </w:rPr>
        <w:t xml:space="preserve">від </w:t>
      </w:r>
      <w:r>
        <w:rPr>
          <w:rFonts w:cs="Times New Roman" w:ascii="Times New Roman" w:hAnsi="Times New Roman"/>
          <w:sz w:val="24"/>
          <w:szCs w:val="24"/>
          <w:lang w:val="uk-UA"/>
        </w:rPr>
        <w:t>08 вересня 2023 року</w:t>
      </w:r>
      <w:r>
        <w:rPr>
          <w:rFonts w:cs="Times New Roman" w:ascii="Times New Roman" w:hAnsi="Times New Roman"/>
          <w:sz w:val="28"/>
          <w:szCs w:val="28"/>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дошкільного підрозділу: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віком від 2 (двох) до 4 (чотирьох) років – 126,00 грн. на одну дитину в день за надання послуг з гарячого харчування.</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віком від 4 (чотирьох) до 6 (шести) років – 149,00 грн. на одну дитину в день за надання послуг з гарячого харчування.</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Переможець процедури закупівлі зобов’язаний:</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харчоблоки інвентарем, спецодягом, миючими та дезінфікуючими  засобами;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належне санітарне утримання приміщень харчоблоків, технологічного обладнання та інвентарю;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наявність картками та іншою технологічною документацією кожну страву, що буде готуватись у їдальні дошкільного підрозділу;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дотримуватись, щоб харчування дітей було повноцінним, безпечним, якісним, збалансованим та раціональним;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суворо дотримуватись правил приймання продуктів, що отримує їдальня,  а також умов і строків зберігання і реалізації продуктів, що швидко псуються;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приготування їжі високої якості, проведення щоденного бракеражу страв за участю працівників Замовника;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наявність у працівників, що здійснюватимуть харчування вихованців дошкільного підрозділу, медичних довідок відповідно до вимог чинного законодавства; забезпечувати відповідність ваги готової порції; забезпечувати термін зберігання товару відповідно до санітарних норм зберігання.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1.4.  </w:t>
      </w:r>
      <w:r>
        <w:rPr>
          <w:rFonts w:ascii="Times New Roman" w:hAnsi="Times New Roman"/>
          <w:sz w:val="24"/>
          <w:szCs w:val="24"/>
          <w:lang w:val="uk-UA"/>
        </w:rPr>
        <w:t xml:space="preserve">В ціну послуг учасники повинні врахувати всі витрати на сплату комунальних послуг та електроенергії, використаних в їдальні.  Виконавець послуг оплачує комунальні послуги щомісячно по факту використання згідно показів лічильників.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1.5. </w:t>
      </w:r>
      <w:r>
        <w:rPr>
          <w:rFonts w:ascii="Times New Roman" w:hAnsi="Times New Roman"/>
          <w:sz w:val="24"/>
          <w:szCs w:val="24"/>
          <w:lang w:val="uk-UA"/>
        </w:rPr>
        <w:t>Виконавець  забезпечує харчоблоки необхідним для приготування та зберігання їжі, а саме: дошками для розробки продуктів (не менше 5 шт.), ножами для нарізки продуктів (не менше 5 шт.), кухонним посудом, столовим посудом, та іншим приладдям, відповідно до вимог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6</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7</w:t>
      </w:r>
      <w:r>
        <w:rPr>
          <w:rFonts w:eastAsia="Times New Roman" w:cs="Times New Roman"/>
          <w:b w:val="false"/>
          <w:bCs w:val="false"/>
          <w:i w:val="false"/>
          <w:iCs w:val="false"/>
          <w:color w:val="auto"/>
          <w:kern w:val="0"/>
          <w:sz w:val="24"/>
          <w:szCs w:val="24"/>
          <w:u w:val="none"/>
          <w:lang w:val="uk-UA" w:eastAsia="ru-RU" w:bidi="ar-SA"/>
        </w:rPr>
        <w:t xml:space="preserve">. 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1.8. Постачання гарячих страв вихованцям дошкільного підрозділу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дітей, щодо кожної категорії дітей.</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Виконавцем, спільно з медичним працівником навчального закладу, складається дієтичне двотижневе меню, яке затверджується керівником навчального закладу Замовника та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закладу освіти Виконавцем).</w:t>
      </w:r>
    </w:p>
    <w:p>
      <w:pPr>
        <w:pStyle w:val="NoSpacing"/>
        <w:spacing w:lineRule="auto" w:line="360"/>
        <w:ind w:firstLine="284" w:start="0" w:end="0"/>
        <w:jc w:val="both"/>
        <w:rPr>
          <w:rFonts w:ascii="Times New Roman" w:hAnsi="Times New Roman"/>
          <w:spacing w:val="4"/>
          <w:sz w:val="24"/>
          <w:szCs w:val="24"/>
          <w:lang w:val="uk-UA" w:bidi="ar-SA"/>
        </w:rPr>
      </w:pPr>
      <w:r>
        <w:rPr>
          <w:rFonts w:ascii="Times New Roman" w:hAnsi="Times New Roman"/>
          <w:spacing w:val="4"/>
          <w:sz w:val="24"/>
          <w:szCs w:val="24"/>
          <w:lang w:val="uk-UA" w:bidi="ar-SA"/>
        </w:rPr>
        <w:tab/>
        <w:t>Продукти харчування мають постачатися з терміном придатності не менше 80% від загального терміну збереження.</w:t>
      </w:r>
    </w:p>
    <w:p>
      <w:pPr>
        <w:pStyle w:val="Docdata"/>
        <w:widowControl w:val="false"/>
        <w:spacing w:lineRule="auto" w:line="360" w:before="0" w:after="0"/>
        <w:ind w:firstLine="284" w:start="0" w:end="0"/>
        <w:jc w:val="both"/>
        <w:rPr>
          <w:rFonts w:ascii="Times New Roman" w:hAnsi="Times New Roman"/>
          <w:sz w:val="24"/>
          <w:szCs w:val="24"/>
        </w:rPr>
      </w:pPr>
      <w:r>
        <w:rPr>
          <w:rFonts w:ascii="Times New Roman" w:hAnsi="Times New Roman"/>
          <w:sz w:val="24"/>
          <w:szCs w:val="24"/>
          <w:lang w:val="uk-UA" w:bidi="ar-SA"/>
        </w:rPr>
        <w:tab/>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вихованців. Дозволяється заміна гарнірів з круп, напоїв, борошняних виробів рівноцінними продуктами за біологічною цінністю та вартістю страв. </w:t>
      </w:r>
      <w:r>
        <w:rPr>
          <w:rFonts w:ascii="Times New Roman" w:hAnsi="Times New Roman"/>
          <w:color w:val="000000"/>
          <w:sz w:val="24"/>
          <w:szCs w:val="24"/>
          <w:lang w:val="uk-UA" w:bidi="ar-SA"/>
        </w:rPr>
        <w:t xml:space="preserve"> </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 xml:space="preserve">Постанови Кабінету Міністрів України від 24 березня 2021 року №305 "Норми харчування у закладах освіти та дитячих закладах оздоровлення та відпочинку". </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9</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spacing w:lineRule="auto" w:line="360" w:before="0" w:after="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10</w:t>
      </w:r>
      <w:r>
        <w:rPr>
          <w:rFonts w:eastAsia="Times New Roman" w:cs="Times New Roman"/>
          <w:b w:val="false"/>
          <w:bCs w:val="false"/>
          <w:color w:val="000000"/>
          <w:kern w:val="0"/>
          <w:sz w:val="24"/>
          <w:szCs w:val="24"/>
          <w:lang w:val="uk-UA" w:eastAsia="ar-SA" w:bidi="ar-SA"/>
        </w:rPr>
        <w:t xml:space="preserve">. 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надання послуг / виконання робіт працівників,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11</w:t>
      </w:r>
      <w:r>
        <w:rPr>
          <w:rFonts w:eastAsia="Times New Roman" w:cs="Times New Roman"/>
          <w:b w:val="false"/>
          <w:bCs w:val="false"/>
          <w:color w:val="000000"/>
          <w:kern w:val="0"/>
          <w:sz w:val="24"/>
          <w:szCs w:val="24"/>
          <w:lang w:val="uk-UA" w:eastAsia="ar-SA" w:bidi="ar-SA"/>
        </w:rPr>
        <w:t>. Для надання послуг / виконання робіт повинні використовуватися якісне відповідне устаткування, знаряддя праці, обладнання та матеріали, машини і механізми, техніка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12</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 xml:space="preserve">1.13.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з 1 жовтня до 31 грудня 2023 року</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дошкільної освіти Татарбунарської міської ради Одеської області, згідно нижчезазначеного переліку:</w:t>
      </w:r>
    </w:p>
    <w:tbl>
      <w:tblPr>
        <w:tblW w:w="10389" w:type="dxa"/>
        <w:jc w:val="center"/>
        <w:tblInd w:w="0" w:type="dxa"/>
        <w:tblLayout w:type="fixed"/>
        <w:tblCellMar>
          <w:top w:w="0" w:type="dxa"/>
          <w:start w:w="108" w:type="dxa"/>
          <w:bottom w:w="0" w:type="dxa"/>
          <w:end w:w="108" w:type="dxa"/>
        </w:tblCellMar>
      </w:tblPr>
      <w:tblGrid>
        <w:gridCol w:w="526"/>
        <w:gridCol w:w="5537"/>
        <w:gridCol w:w="4326"/>
      </w:tblGrid>
      <w:tr>
        <w:trPr>
          <w:trHeight w:val="636"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53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Баштанівський ліцей Татарбунарської міської ради (дошкільний підрозділ)</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rPr>
                <w:rFonts w:ascii="Times New Roman" w:hAnsi="Times New Roman"/>
                <w:color w:val="000000"/>
              </w:rPr>
            </w:pPr>
            <w:r>
              <w:rPr>
                <w:rFonts w:ascii="Times New Roman" w:hAnsi="Times New Roman"/>
                <w:color w:val="000000"/>
              </w:rPr>
              <w:t xml:space="preserve">68111,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Баштанівка, вулиця Василя Антоновича Вєтрогона, 48 а</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Струмківський ліцей Татарбунарської міської ради (дошкільний підрозділ)</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rPr>
                <w:rFonts w:ascii="Times New Roman" w:hAnsi="Times New Roman"/>
                <w:color w:val="000000"/>
              </w:rPr>
            </w:pPr>
            <w:r>
              <w:rPr>
                <w:rFonts w:ascii="Times New Roman" w:hAnsi="Times New Roman"/>
                <w:color w:val="000000"/>
              </w:rPr>
              <w:t xml:space="preserve">68120,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Струмок, вулиця Перемоги, 97</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«Незабудка» комбінованого типу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rPr>
              <w:t xml:space="preserve">68100, Одеська обл., </w:t>
            </w:r>
            <w:r>
              <w:rPr>
                <w:rFonts w:ascii="Times New Roman" w:hAnsi="Times New Roman"/>
                <w:color w:val="000000"/>
                <w:lang w:val="uk-UA"/>
              </w:rPr>
              <w:t xml:space="preserve">Білгород-Дністровський район, </w:t>
            </w:r>
            <w:r>
              <w:rPr>
                <w:rFonts w:ascii="Times New Roman" w:hAnsi="Times New Roman"/>
              </w:rPr>
              <w:t>м. Татарбунари, вулиця Центральна, 68</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«Колосок»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rPr>
              <w:t xml:space="preserve">68100, Одеська обл., </w:t>
            </w:r>
            <w:r>
              <w:rPr>
                <w:rFonts w:ascii="Times New Roman" w:hAnsi="Times New Roman"/>
                <w:color w:val="000000"/>
              </w:rPr>
              <w:t xml:space="preserve"> </w:t>
            </w:r>
            <w:r>
              <w:rPr>
                <w:rFonts w:ascii="Times New Roman" w:hAnsi="Times New Roman"/>
                <w:color w:val="000000"/>
                <w:lang w:val="uk-UA"/>
              </w:rPr>
              <w:t xml:space="preserve">Білгород-Дністровський район, </w:t>
            </w:r>
            <w:r>
              <w:rPr>
                <w:rFonts w:ascii="Times New Roman" w:hAnsi="Times New Roman"/>
              </w:rPr>
              <w:t>м. Татарбунари, вулиця Клюшнікова, 23</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5</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«Ромашка» комбінованого типу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rPr>
              <w:t>68110, Одеська обл</w:t>
            </w:r>
            <w:r>
              <w:rPr>
                <w:rFonts w:ascii="Times New Roman" w:hAnsi="Times New Roman"/>
                <w:color w:val="000000"/>
              </w:rPr>
              <w:t xml:space="preserve">, </w:t>
            </w:r>
            <w:r>
              <w:rPr>
                <w:rFonts w:ascii="Times New Roman" w:hAnsi="Times New Roman"/>
                <w:color w:val="000000"/>
                <w:lang w:val="uk-UA"/>
              </w:rPr>
              <w:t>Білгород-Дністровський район</w:t>
            </w:r>
            <w:r>
              <w:rPr>
                <w:rFonts w:ascii="Times New Roman" w:hAnsi="Times New Roman"/>
              </w:rPr>
              <w:t>, село Дельжилер, вулиця П</w:t>
            </w:r>
            <w:r>
              <w:rPr>
                <w:rFonts w:ascii="Times New Roman" w:hAnsi="Times New Roman"/>
                <w:lang w:val="uk-UA"/>
              </w:rPr>
              <w:t>еремоги</w:t>
            </w:r>
            <w:r>
              <w:rPr>
                <w:rFonts w:ascii="Times New Roman" w:hAnsi="Times New Roman"/>
              </w:rPr>
              <w:t xml:space="preserve"> , будинок 131</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6</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«Веселка»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lang w:val="uk-UA"/>
              </w:rPr>
              <w:t>68122, Одеська область</w:t>
            </w:r>
            <w:r>
              <w:rPr>
                <w:rFonts w:ascii="Times New Roman" w:hAnsi="Times New Roman"/>
                <w:color w:val="000000"/>
              </w:rPr>
              <w:t xml:space="preserve">, </w:t>
            </w:r>
            <w:r>
              <w:rPr>
                <w:rFonts w:ascii="Times New Roman" w:hAnsi="Times New Roman"/>
                <w:color w:val="000000"/>
                <w:lang w:val="uk-UA"/>
              </w:rPr>
              <w:t xml:space="preserve">Білгород-Дністровський район, </w:t>
            </w:r>
            <w:r>
              <w:rPr>
                <w:rFonts w:ascii="Times New Roman" w:hAnsi="Times New Roman"/>
                <w:lang w:val="uk-UA"/>
              </w:rPr>
              <w:t>село Нерушай, вулиця Цетральна, 57</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7</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«Буратіно»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rPr>
              <w:t>681</w:t>
            </w:r>
            <w:r>
              <w:rPr>
                <w:rFonts w:ascii="Times New Roman" w:hAnsi="Times New Roman"/>
                <w:lang w:val="uk-UA"/>
              </w:rPr>
              <w:t>1</w:t>
            </w:r>
            <w:r>
              <w:rPr>
                <w:rFonts w:ascii="Times New Roman" w:hAnsi="Times New Roman"/>
              </w:rPr>
              <w:t xml:space="preserve">3, Одеська обл., </w:t>
            </w:r>
            <w:r>
              <w:rPr>
                <w:rFonts w:ascii="Times New Roman" w:hAnsi="Times New Roman"/>
                <w:color w:val="000000"/>
              </w:rPr>
              <w:t xml:space="preserve"> </w:t>
            </w:r>
            <w:r>
              <w:rPr>
                <w:rFonts w:ascii="Times New Roman" w:hAnsi="Times New Roman"/>
                <w:color w:val="000000"/>
                <w:lang w:val="uk-UA"/>
              </w:rPr>
              <w:t>Білгород-Дністровський район,</w:t>
            </w:r>
            <w:r>
              <w:rPr>
                <w:rFonts w:ascii="Times New Roman" w:hAnsi="Times New Roman"/>
              </w:rPr>
              <w:t xml:space="preserve"> село Глибоке, </w:t>
            </w:r>
            <w:r>
              <w:rPr>
                <w:rFonts w:ascii="Times New Roman" w:hAnsi="Times New Roman"/>
                <w:lang w:val="uk-UA"/>
              </w:rPr>
              <w:t>вулиця Цетральна</w:t>
            </w:r>
            <w:r>
              <w:rPr>
                <w:rFonts w:ascii="Times New Roman" w:hAnsi="Times New Roman"/>
              </w:rPr>
              <w:t>, будинок</w:t>
            </w:r>
            <w:r>
              <w:rPr>
                <w:rFonts w:ascii="Times New Roman" w:hAnsi="Times New Roman"/>
                <w:lang w:val="uk-UA"/>
              </w:rPr>
              <w:t>,</w:t>
            </w:r>
            <w:r>
              <w:rPr>
                <w:rFonts w:ascii="Times New Roman" w:hAnsi="Times New Roman"/>
              </w:rPr>
              <w:t xml:space="preserve"> 41</w:t>
            </w:r>
            <w:r>
              <w:rPr>
                <w:rFonts w:ascii="Times New Roman" w:hAnsi="Times New Roman"/>
                <w:lang w:val="uk-UA"/>
              </w:rPr>
              <w:t>а</w:t>
            </w:r>
          </w:p>
        </w:tc>
      </w:tr>
      <w:tr>
        <w:trPr>
          <w:trHeight w:val="897"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8</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«Берізка»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lang w:val="uk-UA"/>
              </w:rPr>
              <w:t xml:space="preserve">68112, Одеська область, </w:t>
            </w:r>
            <w:r>
              <w:rPr>
                <w:rFonts w:ascii="Times New Roman" w:hAnsi="Times New Roman"/>
                <w:color w:val="000000"/>
              </w:rPr>
              <w:t xml:space="preserve"> </w:t>
            </w:r>
            <w:r>
              <w:rPr>
                <w:rFonts w:ascii="Times New Roman" w:hAnsi="Times New Roman"/>
                <w:color w:val="000000"/>
                <w:lang w:val="uk-UA"/>
              </w:rPr>
              <w:t>Білгород-Дністровський район,</w:t>
            </w:r>
            <w:r>
              <w:rPr>
                <w:rFonts w:ascii="Times New Roman" w:hAnsi="Times New Roman"/>
                <w:lang w:val="uk-UA"/>
              </w:rPr>
              <w:t xml:space="preserve"> село Борисівка, вулиця Миру, 4</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9</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lang w:val="uk-UA"/>
              </w:rPr>
            </w:pPr>
            <w:r>
              <w:rPr>
                <w:rFonts w:ascii="Times New Roman" w:hAnsi="Times New Roman"/>
                <w:lang w:val="uk-UA"/>
              </w:rPr>
              <w:t>Комунальний заклад дошкільної освіти (ясла-садок)             «Сонечко»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lang w:val="uk-UA"/>
              </w:rPr>
            </w:pPr>
            <w:r>
              <w:rPr>
                <w:rFonts w:ascii="Times New Roman" w:hAnsi="Times New Roman"/>
              </w:rPr>
              <w:t>681</w:t>
            </w:r>
            <w:r>
              <w:rPr>
                <w:rFonts w:ascii="Times New Roman" w:hAnsi="Times New Roman"/>
                <w:lang w:val="uk-UA"/>
              </w:rPr>
              <w:t>30</w:t>
            </w:r>
            <w:r>
              <w:rPr>
                <w:rFonts w:ascii="Times New Roman" w:hAnsi="Times New Roman"/>
              </w:rPr>
              <w:t xml:space="preserve">, Одеська обл., </w:t>
            </w:r>
            <w:r>
              <w:rPr>
                <w:rFonts w:ascii="Times New Roman" w:hAnsi="Times New Roman"/>
                <w:color w:val="000000"/>
                <w:lang w:val="uk-UA"/>
              </w:rPr>
              <w:t>Білгород-Дністровський район,</w:t>
            </w:r>
            <w:r>
              <w:rPr>
                <w:rFonts w:ascii="Times New Roman" w:hAnsi="Times New Roman"/>
                <w:lang w:val="uk-UA"/>
              </w:rPr>
              <w:t xml:space="preserve"> </w:t>
            </w:r>
            <w:r>
              <w:rPr>
                <w:rFonts w:ascii="Times New Roman" w:hAnsi="Times New Roman"/>
              </w:rPr>
              <w:t>село Б</w:t>
            </w:r>
            <w:r>
              <w:rPr>
                <w:rFonts w:ascii="Times New Roman" w:hAnsi="Times New Roman"/>
                <w:lang w:val="uk-UA"/>
              </w:rPr>
              <w:t>і</w:t>
            </w:r>
            <w:r>
              <w:rPr>
                <w:rFonts w:ascii="Times New Roman" w:hAnsi="Times New Roman"/>
              </w:rPr>
              <w:t>лол</w:t>
            </w:r>
            <w:r>
              <w:rPr>
                <w:rFonts w:ascii="Times New Roman" w:hAnsi="Times New Roman"/>
                <w:lang w:val="uk-UA"/>
              </w:rPr>
              <w:t>і</w:t>
            </w:r>
            <w:r>
              <w:rPr>
                <w:rFonts w:ascii="Times New Roman" w:hAnsi="Times New Roman"/>
              </w:rPr>
              <w:t xml:space="preserve">сся, </w:t>
            </w:r>
            <w:r>
              <w:rPr>
                <w:rFonts w:ascii="Times New Roman" w:hAnsi="Times New Roman"/>
                <w:lang w:val="uk-UA"/>
              </w:rPr>
              <w:t>вулиця Свято-Покровська, 9</w:t>
            </w:r>
          </w:p>
        </w:tc>
      </w:tr>
    </w:tbl>
    <w:p>
      <w:pPr>
        <w:pStyle w:val="Normal"/>
        <w:widowControl/>
        <w:suppressAutoHyphens w:val="true"/>
        <w:bidi w:val="0"/>
        <w:spacing w:lineRule="auto" w:line="360" w:before="0" w:after="0"/>
        <w:ind w:hanging="0" w:start="0" w:end="0"/>
        <w:jc w:val="both"/>
        <w:rPr>
          <w:rFonts w:ascii="Times New Roman" w:hAnsi="Times New Roman"/>
          <w:b w:val="false"/>
          <w:bCs w:val="false"/>
          <w:lang w:eastAsia="uk-UA"/>
        </w:rPr>
      </w:pPr>
      <w:r>
        <w:rPr>
          <w:rFonts w:ascii="Times New Roman" w:hAnsi="Times New Roman"/>
          <w:b w:val="false"/>
          <w:bCs w:val="false"/>
          <w:lang w:eastAsia="uk-UA"/>
        </w:rPr>
      </w:r>
    </w:p>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w:ascii="Times New Roman" w:hAnsi="Times New Roman"/>
          <w:b/>
          <w:bCs/>
          <w:i w:val="false"/>
          <w:iCs w:val="false"/>
          <w:caps w:val="false"/>
          <w:smallCaps w:val="false"/>
          <w:color w:val="000000"/>
          <w:spacing w:val="0"/>
          <w:sz w:val="24"/>
          <w:szCs w:val="24"/>
          <w:u w:val="none"/>
          <w:shd w:fill="auto" w:val="clear"/>
          <w:lang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7</Pages>
  <Words>2106</Words>
  <Characters>14879</Characters>
  <CharactersWithSpaces>16983</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cp:revision>1</cp:revision>
  <dc:subject/>
  <dc:title/>
</cp:coreProperties>
</file>