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в закладах дошкільної освіти Татарбунарської міської ради Одеської області (код ДК 021:2015 —  55510000-8 - Послуги їдалень)”</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433"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704"/>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704"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704"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704"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704"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704"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704"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10</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b w:val="false"/>
          <w:bCs w:val="false"/>
          <w:sz w:val="20"/>
          <w:szCs w:val="20"/>
        </w:rPr>
      </w:pPr>
      <w:r>
        <w:rPr>
          <w:rFonts w:eastAsia="Times New Roman" w:ascii="Times New Roman" w:hAnsi="Times New Roman"/>
          <w:b w:val="false"/>
          <w:bCs w:val="false"/>
          <w:color w:val="auto"/>
          <w:sz w:val="20"/>
          <w:szCs w:val="20"/>
          <w:lang w:val="uk-UA" w:eastAsia="ar-SA"/>
        </w:rPr>
        <w:t>*</w:t>
      </w:r>
      <w:r>
        <w:rPr>
          <w:rFonts w:eastAsia="Times New Roman" w:ascii="Times New Roman" w:hAnsi="Times New Roman"/>
          <w:b w:val="false"/>
          <w:bCs w:val="false"/>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b w:val="false"/>
          <w:bCs w:val="false"/>
          <w:i/>
          <w:i/>
          <w:iCs/>
          <w:color w:val="auto"/>
          <w:sz w:val="20"/>
          <w:szCs w:val="20"/>
          <w:lang w:val="uk-UA" w:eastAsia="ar-SA"/>
        </w:rPr>
      </w:pPr>
      <w:r>
        <w:rPr>
          <w:rFonts w:eastAsia="Times New Roman" w:ascii="Times New Roman" w:hAnsi="Times New Roman"/>
          <w:b w:val="false"/>
          <w:bCs w:val="false"/>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color w:val="auto"/>
          <w:position w:val="0"/>
          <w:sz w:val="20"/>
          <w:sz w:val="20"/>
          <w:szCs w:val="20"/>
          <w:vertAlign w:val="baseline"/>
          <w:lang w:val="uk-UA" w:eastAsia="ar-SA"/>
        </w:rPr>
        <w:t xml:space="preserve">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w:t>
      </w:r>
      <w:r>
        <w:rPr>
          <w:rFonts w:eastAsia="Times New Roman" w:ascii="Times New Roman" w:hAnsi="Times New Roman"/>
          <w:b w:val="false"/>
          <w:bCs w:val="false"/>
          <w:i/>
          <w:color w:val="auto"/>
          <w:position w:val="0"/>
          <w:sz w:val="20"/>
          <w:sz w:val="20"/>
          <w:szCs w:val="20"/>
          <w:vertAlign w:val="baseline"/>
          <w:lang w:val="uk-UA" w:eastAsia="ar-SA"/>
        </w:rPr>
        <w:t>послуг</w:t>
      </w:r>
      <w:r>
        <w:rPr>
          <w:rFonts w:eastAsia="Times New Roman" w:ascii="Times New Roman" w:hAnsi="Times New Roman"/>
          <w:b w:val="false"/>
          <w:bCs w:val="false"/>
          <w:i/>
          <w:color w:val="auto"/>
          <w:position w:val="0"/>
          <w:sz w:val="20"/>
          <w:sz w:val="20"/>
          <w:szCs w:val="20"/>
          <w:vertAlign w:val="baseline"/>
          <w:lang w:val="uk-UA" w:eastAsia="ar-SA"/>
        </w:rPr>
        <w:t xml:space="preserve">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w:t>
      </w:r>
      <w:r>
        <w:rPr>
          <w:rFonts w:eastAsia="Times New Roman" w:ascii="Times New Roman" w:hAnsi="Times New Roman"/>
          <w:b w:val="false"/>
          <w:bCs w:val="false"/>
          <w:i/>
          <w:color w:val="auto"/>
          <w:position w:val="0"/>
          <w:sz w:val="20"/>
          <w:sz w:val="20"/>
          <w:szCs w:val="20"/>
          <w:vertAlign w:val="baseline"/>
          <w:lang w:val="uk-UA" w:eastAsia="ar-SA"/>
        </w:rPr>
        <w:t>их послуг</w:t>
      </w:r>
      <w:r>
        <w:rPr>
          <w:rFonts w:eastAsia="Times New Roman" w:ascii="Times New Roman" w:hAnsi="Times New Roman"/>
          <w:b w:val="false"/>
          <w:bCs w:val="false"/>
          <w:i/>
          <w:color w:val="auto"/>
          <w:position w:val="0"/>
          <w:sz w:val="20"/>
          <w:sz w:val="20"/>
          <w:szCs w:val="20"/>
          <w:vertAlign w:val="baseline"/>
          <w:lang w:val="uk-UA" w:eastAsia="ar-SA"/>
        </w:rPr>
        <w:t>,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2</Pages>
  <Words>606</Words>
  <Characters>3992</Characters>
  <CharactersWithSpaces>4618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