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 1» Краматорської міської ради </w:t>
      </w:r>
      <w:r w:rsidRPr="005806AE">
        <w:rPr>
          <w:rFonts w:ascii="Times New Roman" w:hAnsi="Times New Roman" w:cs="Times New Roman"/>
          <w:sz w:val="24"/>
          <w:szCs w:val="24"/>
        </w:rPr>
        <w:t xml:space="preserve">(скорочене найменування – КНП «ЦПМСД № 1» КМР), далі – </w:t>
      </w:r>
      <w:r w:rsidRPr="00384CDB">
        <w:rPr>
          <w:rFonts w:ascii="Times New Roman" w:hAnsi="Times New Roman" w:cs="Times New Roman"/>
          <w:b/>
          <w:sz w:val="24"/>
          <w:szCs w:val="24"/>
        </w:rPr>
        <w:t>«</w:t>
      </w:r>
      <w:r>
        <w:rPr>
          <w:rFonts w:ascii="Times New Roman" w:hAnsi="Times New Roman" w:cs="Times New Roman"/>
          <w:b/>
          <w:sz w:val="24"/>
          <w:szCs w:val="24"/>
        </w:rPr>
        <w:t>Покупець</w:t>
      </w:r>
      <w:r w:rsidRPr="00384CDB">
        <w:rPr>
          <w:rFonts w:ascii="Times New Roman" w:hAnsi="Times New Roman" w:cs="Times New Roman"/>
          <w:b/>
          <w:sz w:val="24"/>
          <w:szCs w:val="24"/>
        </w:rPr>
        <w:t>»,</w:t>
      </w:r>
      <w:r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5806AE">
        <w:rPr>
          <w:rFonts w:ascii="Times New Roman" w:hAnsi="Times New Roman" w:cs="Times New Roman"/>
          <w:color w:val="000000" w:themeColor="text1"/>
          <w:sz w:val="24"/>
          <w:szCs w:val="24"/>
        </w:rPr>
        <w:t xml:space="preserve">», </w:t>
      </w:r>
      <w:r w:rsidRPr="005806AE">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806AE">
        <w:rPr>
          <w:rFonts w:ascii="Times New Roman" w:eastAsia="Times New Roman" w:hAnsi="Times New Roman" w:cs="Times New Roman"/>
          <w:color w:val="000000" w:themeColor="text1"/>
          <w:sz w:val="24"/>
          <w:szCs w:val="24"/>
        </w:rPr>
        <w:t>закупівель</w:t>
      </w:r>
      <w:proofErr w:type="spellEnd"/>
      <w:r w:rsidRPr="005806A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6742E7" w:rsidRDefault="006742E7" w:rsidP="00674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ДОГОВОРУ</w:t>
      </w:r>
    </w:p>
    <w:p w:rsidR="00DE5834" w:rsidRPr="00B94BBE" w:rsidRDefault="00DE5834" w:rsidP="00DE5834">
      <w:pPr>
        <w:spacing w:before="240"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r w:rsidR="007414EC" w:rsidRPr="007414EC">
        <w:rPr>
          <w:rFonts w:ascii="Times New Roman" w:hAnsi="Times New Roman" w:cs="Times New Roman"/>
          <w:b/>
          <w:sz w:val="24"/>
          <w:szCs w:val="24"/>
        </w:rPr>
        <w:t>Голка одноразова для забору крові стандартна двостороння, діаметр 0.8 мм (21G), довжина 38 мм, №1</w:t>
      </w:r>
      <w:r w:rsidR="00466194">
        <w:rPr>
          <w:rFonts w:ascii="Times New Roman" w:hAnsi="Times New Roman" w:cs="Times New Roman"/>
          <w:b/>
          <w:sz w:val="24"/>
          <w:szCs w:val="24"/>
        </w:rPr>
        <w:t xml:space="preserve"> </w:t>
      </w: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DE5834" w:rsidRPr="005036FA"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lastRenderedPageBreak/>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DE5834" w:rsidRPr="005036FA"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адресою Покупця. Поставка товару здійснюється партіями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1D1408">
        <w:rPr>
          <w:rFonts w:ascii="Times New Roman" w:hAnsi="Times New Roman" w:cs="Times New Roman"/>
          <w:b/>
          <w:sz w:val="24"/>
          <w:szCs w:val="24"/>
          <w:lang w:val="ru-RU"/>
        </w:rPr>
        <w:t xml:space="preserve">15 </w:t>
      </w:r>
      <w:proofErr w:type="spellStart"/>
      <w:r w:rsidR="001D1408">
        <w:rPr>
          <w:rFonts w:ascii="Times New Roman" w:hAnsi="Times New Roman" w:cs="Times New Roman"/>
          <w:b/>
          <w:sz w:val="24"/>
          <w:szCs w:val="24"/>
          <w:lang w:val="ru-RU"/>
        </w:rPr>
        <w:t>квітня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6.5. Постачальник зобов’язаний забезпечити поставку товарів у строки, встановлені цим Договором.</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DE5834" w:rsidRPr="005036FA"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DE5834" w:rsidRPr="005036FA"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31 грудня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lastRenderedPageBreak/>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Pr="005806AE"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4"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3B3A32" w:rsidRDefault="003B3A32" w:rsidP="00DE5834">
      <w:pPr>
        <w:jc w:val="both"/>
        <w:rPr>
          <w:rFonts w:ascii="Times New Roman" w:hAnsi="Times New Roman" w:cs="Times New Roman"/>
          <w:b/>
          <w:sz w:val="24"/>
          <w:szCs w:val="24"/>
        </w:rPr>
      </w:pPr>
    </w:p>
    <w:p w:rsidR="00DE5834" w:rsidRPr="005806AE" w:rsidRDefault="00DE5834" w:rsidP="00DE583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_________2023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bookmarkStart w:id="0" w:name="_GoBack"/>
      <w:bookmarkEnd w:id="0"/>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94"/>
        <w:gridCol w:w="708"/>
        <w:gridCol w:w="1275"/>
        <w:gridCol w:w="1120"/>
        <w:gridCol w:w="957"/>
      </w:tblGrid>
      <w:tr w:rsidR="00565123" w:rsidRPr="005806AE" w:rsidTr="00565123">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565123">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vanish/>
                <w:highlight w:val="yellow"/>
                <w:shd w:val="clear" w:color="auto" w:fill="FFFFFF"/>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2</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highlight w:val="yellow"/>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285"/>
        </w:trPr>
        <w:tc>
          <w:tcPr>
            <w:tcW w:w="710" w:type="dxa"/>
            <w:tcBorders>
              <w:top w:val="single" w:sz="4" w:space="0" w:color="auto"/>
              <w:left w:val="nil"/>
              <w:bottom w:val="nil"/>
              <w:right w:val="nil"/>
            </w:tcBorders>
            <w:vAlign w:val="center"/>
          </w:tcPr>
          <w:p w:rsidR="00565123" w:rsidRPr="005806AE" w:rsidRDefault="00565123" w:rsidP="000A1875">
            <w:pPr>
              <w:pStyle w:val="a6"/>
              <w:rPr>
                <w:lang w:val="uk-UA"/>
              </w:rPr>
            </w:pPr>
          </w:p>
          <w:p w:rsidR="00565123" w:rsidRPr="005806AE" w:rsidRDefault="00565123" w:rsidP="000A1875">
            <w:pPr>
              <w:pStyle w:val="a6"/>
              <w:rPr>
                <w:lang w:val="uk-UA"/>
              </w:rPr>
            </w:pPr>
          </w:p>
        </w:tc>
        <w:tc>
          <w:tcPr>
            <w:tcW w:w="4394"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708"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275"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120" w:type="dxa"/>
            <w:tcBorders>
              <w:top w:val="single" w:sz="4" w:space="0" w:color="auto"/>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Разом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r w:rsidRPr="005806AE">
              <w:rPr>
                <w:highlight w:val="yellow"/>
              </w:rPr>
              <w:t xml:space="preserve">                     </w:t>
            </w: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Всього 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0A1875">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0A1875">
            <w:pPr>
              <w:spacing w:line="240" w:lineRule="atLeast"/>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0A1875">
            <w:pPr>
              <w:shd w:val="clear" w:color="auto" w:fill="FFFFFF"/>
              <w:tabs>
                <w:tab w:val="left" w:pos="142"/>
                <w:tab w:val="left" w:pos="284"/>
              </w:tabs>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0A1875">
            <w:pPr>
              <w:spacing w:line="240" w:lineRule="atLeast"/>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41B51">
            <w:pPr>
              <w:spacing w:line="240" w:lineRule="atLeast"/>
              <w:ind w:right="-1"/>
              <w:rPr>
                <w:rFonts w:ascii="Times New Roman" w:hAnsi="Times New Roman" w:cs="Times New Roman"/>
                <w:b/>
                <w:sz w:val="24"/>
                <w:szCs w:val="24"/>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p>
          <w:p w:rsidR="00DE5834" w:rsidRPr="005806AE" w:rsidRDefault="00DE5834" w:rsidP="000A1875">
            <w:pPr>
              <w:spacing w:line="240" w:lineRule="atLeast"/>
              <w:rPr>
                <w:rFonts w:ascii="Times New Roman" w:hAnsi="Times New Roman" w:cs="Times New Roman"/>
                <w:bCs/>
                <w:sz w:val="24"/>
                <w:szCs w:val="24"/>
                <w:vertAlign w:val="superscript"/>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246BC"/>
    <w:rsid w:val="0015220B"/>
    <w:rsid w:val="001A3C33"/>
    <w:rsid w:val="001D1408"/>
    <w:rsid w:val="0025575E"/>
    <w:rsid w:val="00335FAA"/>
    <w:rsid w:val="003B3A32"/>
    <w:rsid w:val="00466194"/>
    <w:rsid w:val="00565123"/>
    <w:rsid w:val="006742E7"/>
    <w:rsid w:val="0070144D"/>
    <w:rsid w:val="007414EC"/>
    <w:rsid w:val="00834673"/>
    <w:rsid w:val="00897A24"/>
    <w:rsid w:val="008A5B94"/>
    <w:rsid w:val="008D58E2"/>
    <w:rsid w:val="009906AC"/>
    <w:rsid w:val="00AD7EAE"/>
    <w:rsid w:val="00B45C60"/>
    <w:rsid w:val="00BD7BAB"/>
    <w:rsid w:val="00C64ACE"/>
    <w:rsid w:val="00CA0C25"/>
    <w:rsid w:val="00CC2B34"/>
    <w:rsid w:val="00D41B51"/>
    <w:rsid w:val="00DE5834"/>
    <w:rsid w:val="00EE705F"/>
    <w:rsid w:val="00F3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2F47"/>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C64ACE"/>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1k.sekretar@gmail.com" TargetMode="External"/><Relationship Id="rId4" Type="http://schemas.openxmlformats.org/officeDocument/2006/relationships/hyperlink" Target="mailto:centr1k.sekreta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36</cp:revision>
  <dcterms:created xsi:type="dcterms:W3CDTF">2023-07-20T12:04:00Z</dcterms:created>
  <dcterms:modified xsi:type="dcterms:W3CDTF">2024-03-01T08:18:00Z</dcterms:modified>
</cp:coreProperties>
</file>