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A3AA" w14:textId="211FB864" w:rsidR="0023694A" w:rsidRDefault="00000000" w:rsidP="00522B9A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</w:p>
    <w:p w14:paraId="7FBDB6C6" w14:textId="77777777" w:rsidR="0023694A" w:rsidRDefault="002369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9D526" w14:textId="77777777" w:rsidR="0023694A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7612D929" w14:textId="77777777" w:rsidR="0023694A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4C21E93D" w14:textId="77777777" w:rsidR="0023694A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BFDA000" w14:textId="77777777" w:rsidR="0023694A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151475277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5BF00DD8" w14:textId="77777777" w:rsidR="0023694A" w:rsidRDefault="0023694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6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D3509C" w:rsidRPr="00C90A28" w14:paraId="1A70CA79" w14:textId="77777777" w:rsidTr="00991D8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BA752" w14:textId="77777777" w:rsidR="00D3509C" w:rsidRPr="00C90A28" w:rsidRDefault="00D3509C" w:rsidP="00991D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C90A28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EAC3D" w14:textId="77777777" w:rsidR="00D3509C" w:rsidRPr="00C90A28" w:rsidRDefault="00D3509C" w:rsidP="00991D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26385" w14:textId="77777777" w:rsidR="00D3509C" w:rsidRPr="00C90A28" w:rsidRDefault="00D3509C" w:rsidP="00991D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C90A28">
              <w:rPr>
                <w:rFonts w:ascii="Times New Roman" w:eastAsia="Times New Roman" w:hAnsi="Times New Roman" w:cs="Times New Roman"/>
                <w:b/>
              </w:rPr>
              <w:t xml:space="preserve">та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</w:rPr>
              <w:t>, 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підтверджують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кваліфікаційним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критеріям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</w:tr>
      <w:tr w:rsidR="00D3509C" w:rsidRPr="00C90A28" w14:paraId="33903D44" w14:textId="77777777" w:rsidTr="00991D8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3FD2" w14:textId="77777777" w:rsidR="00D3509C" w:rsidRPr="00C90A28" w:rsidRDefault="00D3509C" w:rsidP="009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90A2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6083" w14:textId="77777777" w:rsidR="00D3509C" w:rsidRPr="00C90A28" w:rsidRDefault="00D3509C" w:rsidP="00991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документально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підтвердженого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досвіду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аналогічного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аналогічних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за предметом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договору (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договорів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0D04" w14:textId="31898C47" w:rsidR="0033417A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90A28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D3509C" w:rsidRPr="00C90A28">
              <w:rPr>
                <w:rFonts w:ascii="Times New Roman" w:eastAsia="Times New Roman" w:hAnsi="Times New Roman" w:cs="Times New Roman"/>
              </w:rPr>
              <w:t>.1</w:t>
            </w:r>
            <w:r w:rsidRPr="00C90A28">
              <w:rPr>
                <w:rFonts w:ascii="Times New Roman" w:eastAsia="Times New Roman" w:hAnsi="Times New Roman" w:cs="Times New Roman"/>
              </w:rPr>
              <w:t xml:space="preserve">.Наявність в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досвіду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договору документально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підтверджується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наступними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документами:</w:t>
            </w:r>
          </w:p>
          <w:p w14:paraId="7654B452" w14:textId="46001682" w:rsidR="00C90A28" w:rsidRPr="00C90A28" w:rsidRDefault="00C90A28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 w:rsidRPr="00C90A28">
              <w:rPr>
                <w:rFonts w:ascii="Times New Roman" w:eastAsia="Times New Roman" w:hAnsi="Times New Roman" w:cs="Times New Roman"/>
                <w:lang w:val="uk-UA"/>
              </w:rPr>
              <w:t>довідку у довільній формі про наявність досвіду виконання не менше 1 аналогічного Договору на встановлення або монтаж системи відеоспостереження та/або системи контролю доступу та/або системи охоронної сигналізації із зазначенням найменування замовника, його адреси, контактної особи, контактного номеру телефону замовника, дати та номеру договору, предмету договору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514638BB" w14:textId="718CE018" w:rsidR="0033417A" w:rsidRPr="00C90A28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0A2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сканкопiєю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договору (з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усіма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додатками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зазначеними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договорі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, як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невід'ємні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, та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додатковими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угодами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/договорами за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таких),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якому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відображена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>;</w:t>
            </w:r>
          </w:p>
          <w:p w14:paraId="0DFB3587" w14:textId="77777777" w:rsidR="0033417A" w:rsidRPr="00C90A28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0A2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сканкопi</w:t>
            </w:r>
            <w:proofErr w:type="gramStart"/>
            <w:r w:rsidRPr="00C90A28">
              <w:rPr>
                <w:rFonts w:ascii="Times New Roman" w:eastAsia="Times New Roman" w:hAnsi="Times New Roman" w:cs="Times New Roman"/>
              </w:rPr>
              <w:t>єю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актів</w:t>
            </w:r>
            <w:proofErr w:type="spellEnd"/>
            <w:proofErr w:type="gram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приймання-передачі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по договору,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якому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відображена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>;</w:t>
            </w:r>
          </w:p>
          <w:p w14:paraId="79413C7A" w14:textId="77777777" w:rsidR="0033417A" w:rsidRPr="00C90A28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0A2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сканкопiєю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позитивного листа-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відгуку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листів-відгуків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кожного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таблиці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>.</w:t>
            </w:r>
          </w:p>
          <w:p w14:paraId="56BA1C9D" w14:textId="77777777" w:rsidR="0033417A" w:rsidRPr="00C90A28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CE89C76" w14:textId="77777777" w:rsidR="0033417A" w:rsidRPr="00C90A28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до листа-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відгуку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>:</w:t>
            </w:r>
          </w:p>
          <w:p w14:paraId="42C72426" w14:textId="77777777" w:rsidR="0033417A" w:rsidRPr="00C90A28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0A28">
              <w:rPr>
                <w:rFonts w:ascii="Times New Roman" w:eastAsia="Times New Roman" w:hAnsi="Times New Roman" w:cs="Times New Roman"/>
              </w:rPr>
              <w:t>- Лист-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відгук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контрагента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фірмовому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бланку контрагента (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вихідного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номера </w:t>
            </w:r>
            <w:proofErr w:type="spellStart"/>
            <w:proofErr w:type="gramStart"/>
            <w:r w:rsidRPr="00C90A28"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>,  за</w:t>
            </w:r>
            <w:proofErr w:type="gram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підписом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особи контрагента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назви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посади,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прізвища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ініціалів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відбитка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печатки (у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>).</w:t>
            </w:r>
          </w:p>
          <w:p w14:paraId="3454C82D" w14:textId="6CC29201" w:rsidR="00D3509C" w:rsidRPr="00C90A28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0A28">
              <w:rPr>
                <w:rFonts w:ascii="Times New Roman" w:eastAsia="Times New Roman" w:hAnsi="Times New Roman" w:cs="Times New Roman"/>
              </w:rPr>
              <w:t>- Лист-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відгук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повинен бути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виданий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у 2024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році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сканований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в PDF-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оригіналу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завантажений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 w:rsidRPr="00C90A2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3417A" w:rsidRPr="00C90A28" w14:paraId="79CFA9FB" w14:textId="77777777" w:rsidTr="00991D8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F5CA" w14:textId="65E79135" w:rsidR="0033417A" w:rsidRPr="00C90A28" w:rsidRDefault="0033417A" w:rsidP="009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C90A2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1C8D" w14:textId="2EB564B7" w:rsidR="0033417A" w:rsidRPr="00C90A28" w:rsidRDefault="0033417A" w:rsidP="0099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0A2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аявн</w:t>
            </w:r>
            <w:r w:rsidRPr="00C90A2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ість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працівників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відповідної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кваліфікації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мають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необхідні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знання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досвід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9F04" w14:textId="6891745E" w:rsidR="0033417A" w:rsidRPr="00C90A28" w:rsidRDefault="0033417A" w:rsidP="003341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A28"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Pr="00C90A28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підтвердження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кваліфікації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які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необхідні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досвід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має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надати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довідку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або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за Формою 1 (</w:t>
            </w:r>
            <w:proofErr w:type="spellStart"/>
            <w:r w:rsidRPr="00C90A28">
              <w:rPr>
                <w:rFonts w:ascii="Times New Roman" w:hAnsi="Times New Roman" w:cs="Times New Roman"/>
              </w:rPr>
              <w:t>із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посади,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досвід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спеціалізації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за дипломом). </w:t>
            </w:r>
          </w:p>
          <w:p w14:paraId="19793B9D" w14:textId="77777777" w:rsidR="0033417A" w:rsidRPr="00C90A28" w:rsidRDefault="0033417A" w:rsidP="0033417A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0A28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підтвердження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наведеної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довідці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має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надати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: </w:t>
            </w:r>
          </w:p>
          <w:p w14:paraId="5AF0C3BC" w14:textId="011ECB1B" w:rsidR="0033417A" w:rsidRPr="00C90A28" w:rsidRDefault="0033417A" w:rsidP="0033417A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90A28">
              <w:rPr>
                <w:rFonts w:ascii="Times New Roman" w:hAnsi="Times New Roman" w:cs="Times New Roman"/>
              </w:rPr>
              <w:t>-</w:t>
            </w:r>
            <w:proofErr w:type="spellStart"/>
            <w:r w:rsidRPr="00C90A28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що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підтверджують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трудові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відносини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між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працівниками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кваліфікації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саме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накази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C90A28">
              <w:rPr>
                <w:rFonts w:ascii="Times New Roman" w:hAnsi="Times New Roman" w:cs="Times New Roman"/>
              </w:rPr>
              <w:t>або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трудові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0A28">
              <w:rPr>
                <w:rFonts w:ascii="Times New Roman" w:hAnsi="Times New Roman" w:cs="Times New Roman"/>
              </w:rPr>
              <w:t>книжки</w:t>
            </w:r>
            <w:proofErr w:type="gramEnd"/>
            <w:r w:rsidRPr="00C90A28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C90A28">
              <w:rPr>
                <w:rFonts w:ascii="Times New Roman" w:hAnsi="Times New Roman" w:cs="Times New Roman"/>
              </w:rPr>
              <w:t>або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цивільно-правові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договори, та/</w:t>
            </w:r>
            <w:proofErr w:type="spellStart"/>
            <w:r w:rsidRPr="00C90A28">
              <w:rPr>
                <w:rFonts w:ascii="Times New Roman" w:hAnsi="Times New Roman" w:cs="Times New Roman"/>
              </w:rPr>
              <w:t>або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інші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що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підтверджують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трудові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відносини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між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працівниками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C90A28">
              <w:rPr>
                <w:rFonts w:ascii="Times New Roman" w:hAnsi="Times New Roman" w:cs="Times New Roman"/>
              </w:rPr>
              <w:t>.</w:t>
            </w:r>
          </w:p>
          <w:p w14:paraId="6191EAFF" w14:textId="72B8F83D" w:rsidR="0033417A" w:rsidRPr="00C90A28" w:rsidRDefault="0033417A" w:rsidP="0033417A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90A28">
              <w:rPr>
                <w:rFonts w:ascii="Times New Roman" w:hAnsi="Times New Roman" w:cs="Times New Roman"/>
              </w:rPr>
              <w:t>-</w:t>
            </w:r>
            <w:r w:rsidRPr="00C90A28">
              <w:rPr>
                <w:rFonts w:ascii="Times New Roman" w:hAnsi="Times New Roman" w:cs="Times New Roman"/>
                <w:color w:val="000000"/>
                <w:lang w:val="uk-UA"/>
              </w:rPr>
              <w:t>Н</w:t>
            </w:r>
            <w:proofErr w:type="spellStart"/>
            <w:r w:rsidRPr="00C90A28">
              <w:rPr>
                <w:rFonts w:ascii="Times New Roman" w:hAnsi="Times New Roman" w:cs="Times New Roman"/>
                <w:color w:val="000000"/>
              </w:rPr>
              <w:t>алежним</w:t>
            </w:r>
            <w:proofErr w:type="spellEnd"/>
            <w:r w:rsidRPr="00C90A28">
              <w:rPr>
                <w:rFonts w:ascii="Times New Roman" w:hAnsi="Times New Roman" w:cs="Times New Roman"/>
                <w:color w:val="000000"/>
              </w:rPr>
              <w:t xml:space="preserve"> чином </w:t>
            </w:r>
            <w:proofErr w:type="spellStart"/>
            <w:r w:rsidRPr="00C90A28">
              <w:rPr>
                <w:rFonts w:ascii="Times New Roman" w:hAnsi="Times New Roman" w:cs="Times New Roman"/>
                <w:color w:val="000000"/>
              </w:rPr>
              <w:t>завірені</w:t>
            </w:r>
            <w:proofErr w:type="spellEnd"/>
            <w:r w:rsidRPr="00C90A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90A28">
              <w:rPr>
                <w:rFonts w:ascii="Times New Roman" w:hAnsi="Times New Roman" w:cs="Times New Roman"/>
                <w:color w:val="000000"/>
              </w:rPr>
              <w:t>копії</w:t>
            </w:r>
            <w:proofErr w:type="spellEnd"/>
            <w:r w:rsidRPr="00C90A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90A28">
              <w:rPr>
                <w:rFonts w:ascii="Times New Roman" w:hAnsi="Times New Roman" w:cs="Times New Roman"/>
                <w:color w:val="000000"/>
              </w:rPr>
              <w:t>документи</w:t>
            </w:r>
            <w:proofErr w:type="spellEnd"/>
            <w:proofErr w:type="gramEnd"/>
            <w:r w:rsidRPr="00C90A2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90A28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C90A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  <w:color w:val="000000"/>
              </w:rPr>
              <w:lastRenderedPageBreak/>
              <w:t>підтверджують</w:t>
            </w:r>
            <w:proofErr w:type="spellEnd"/>
            <w:r w:rsidRPr="00C90A28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C90A28">
              <w:rPr>
                <w:rFonts w:ascii="Times New Roman" w:hAnsi="Times New Roman" w:cs="Times New Roman"/>
                <w:color w:val="000000"/>
              </w:rPr>
              <w:t>працівників</w:t>
            </w:r>
            <w:proofErr w:type="spellEnd"/>
            <w:r w:rsidRPr="00C90A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  <w:color w:val="000000"/>
              </w:rPr>
              <w:t>необхідну</w:t>
            </w:r>
            <w:proofErr w:type="spellEnd"/>
            <w:r w:rsidRPr="00C90A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  <w:color w:val="000000"/>
              </w:rPr>
              <w:t>освіту</w:t>
            </w:r>
            <w:proofErr w:type="spellEnd"/>
            <w:r w:rsidRPr="00C90A28">
              <w:rPr>
                <w:rFonts w:ascii="Times New Roman" w:hAnsi="Times New Roman" w:cs="Times New Roman"/>
                <w:color w:val="000000"/>
              </w:rPr>
              <w:t xml:space="preserve"> (диплом </w:t>
            </w:r>
            <w:proofErr w:type="spellStart"/>
            <w:r w:rsidRPr="00C90A28">
              <w:rPr>
                <w:rFonts w:ascii="Times New Roman" w:hAnsi="Times New Roman" w:cs="Times New Roman"/>
                <w:color w:val="000000"/>
              </w:rPr>
              <w:t>навчального</w:t>
            </w:r>
            <w:proofErr w:type="spellEnd"/>
            <w:r w:rsidRPr="00C90A28">
              <w:rPr>
                <w:rFonts w:ascii="Times New Roman" w:hAnsi="Times New Roman" w:cs="Times New Roman"/>
                <w:color w:val="000000"/>
              </w:rPr>
              <w:t xml:space="preserve"> закладу </w:t>
            </w:r>
            <w:proofErr w:type="spellStart"/>
            <w:r w:rsidRPr="00C90A28">
              <w:rPr>
                <w:rFonts w:ascii="Times New Roman" w:hAnsi="Times New Roman" w:cs="Times New Roman"/>
                <w:color w:val="000000"/>
              </w:rPr>
              <w:t>тощо</w:t>
            </w:r>
            <w:proofErr w:type="spellEnd"/>
            <w:r w:rsidRPr="00C90A28">
              <w:rPr>
                <w:rFonts w:ascii="Times New Roman" w:hAnsi="Times New Roman" w:cs="Times New Roman"/>
                <w:color w:val="000000"/>
              </w:rPr>
              <w:t>).</w:t>
            </w:r>
          </w:p>
          <w:p w14:paraId="7E9D8A20" w14:textId="0960C2FC" w:rsidR="0033417A" w:rsidRPr="00C90A28" w:rsidRDefault="0033417A" w:rsidP="00C90A28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ind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0A28">
              <w:rPr>
                <w:rFonts w:ascii="Times New Roman" w:hAnsi="Times New Roman" w:cs="Times New Roman"/>
              </w:rPr>
              <w:t xml:space="preserve">Документ,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який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підтверджує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технічну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компетентність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працівника-електромонтера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посвідчення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дозвіл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свідоцтво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тощо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які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будуть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здійснювати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технічне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C90A28">
              <w:rPr>
                <w:rFonts w:ascii="Times New Roman" w:hAnsi="Times New Roman" w:cs="Times New Roman"/>
              </w:rPr>
              <w:t>.</w:t>
            </w:r>
          </w:p>
          <w:p w14:paraId="7CC8DACB" w14:textId="77777777" w:rsidR="0033417A" w:rsidRPr="00C90A28" w:rsidRDefault="0033417A" w:rsidP="0033417A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ind w:left="253"/>
              <w:jc w:val="both"/>
              <w:rPr>
                <w:rFonts w:ascii="Times New Roman" w:hAnsi="Times New Roman" w:cs="Times New Roman"/>
              </w:rPr>
            </w:pPr>
          </w:p>
          <w:p w14:paraId="407E909D" w14:textId="77777777" w:rsidR="0033417A" w:rsidRPr="00C90A28" w:rsidRDefault="0033417A" w:rsidP="0033417A">
            <w:pPr>
              <w:pStyle w:val="a6"/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ind w:left="4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0A28">
              <w:rPr>
                <w:rFonts w:ascii="Times New Roman" w:hAnsi="Times New Roman" w:cs="Times New Roman"/>
                <w:b/>
                <w:bCs/>
              </w:rPr>
              <w:t>Форма 1</w:t>
            </w:r>
          </w:p>
          <w:p w14:paraId="527E9C0B" w14:textId="77777777" w:rsidR="0033417A" w:rsidRPr="00C90A28" w:rsidRDefault="0033417A" w:rsidP="0033417A">
            <w:pPr>
              <w:pStyle w:val="a6"/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ind w:left="42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0A28">
              <w:rPr>
                <w:rFonts w:ascii="Times New Roman" w:hAnsi="Times New Roman" w:cs="Times New Roman"/>
                <w:b/>
                <w:bCs/>
              </w:rPr>
              <w:t>Довідка</w:t>
            </w:r>
            <w:proofErr w:type="spellEnd"/>
            <w:r w:rsidRPr="00C90A28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C90A28">
              <w:rPr>
                <w:rFonts w:ascii="Times New Roman" w:hAnsi="Times New Roman" w:cs="Times New Roman"/>
                <w:b/>
                <w:bCs/>
              </w:rPr>
              <w:t>наявність</w:t>
            </w:r>
            <w:proofErr w:type="spellEnd"/>
            <w:r w:rsidRPr="00C90A28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C90A28">
              <w:rPr>
                <w:rFonts w:ascii="Times New Roman" w:hAnsi="Times New Roman" w:cs="Times New Roman"/>
                <w:b/>
                <w:bCs/>
              </w:rPr>
              <w:t>учасника</w:t>
            </w:r>
            <w:proofErr w:type="spellEnd"/>
            <w:r w:rsidRPr="00C90A28">
              <w:rPr>
                <w:rFonts w:ascii="Times New Roman" w:hAnsi="Times New Roman" w:cs="Times New Roman"/>
                <w:b/>
                <w:bCs/>
              </w:rPr>
              <w:t xml:space="preserve"> не </w:t>
            </w:r>
            <w:proofErr w:type="spellStart"/>
            <w:r w:rsidRPr="00C90A28">
              <w:rPr>
                <w:rFonts w:ascii="Times New Roman" w:hAnsi="Times New Roman" w:cs="Times New Roman"/>
                <w:b/>
                <w:bCs/>
              </w:rPr>
              <w:t>менше</w:t>
            </w:r>
            <w:proofErr w:type="spellEnd"/>
            <w:r w:rsidRPr="00C90A28">
              <w:rPr>
                <w:rFonts w:ascii="Times New Roman" w:hAnsi="Times New Roman" w:cs="Times New Roman"/>
                <w:b/>
                <w:bCs/>
              </w:rPr>
              <w:t xml:space="preserve"> 1 </w:t>
            </w:r>
            <w:proofErr w:type="spellStart"/>
            <w:r w:rsidRPr="00C90A28">
              <w:rPr>
                <w:rFonts w:ascii="Times New Roman" w:hAnsi="Times New Roman" w:cs="Times New Roman"/>
                <w:b/>
                <w:bCs/>
              </w:rPr>
              <w:t>працівника-електромонтера</w:t>
            </w:r>
            <w:proofErr w:type="spellEnd"/>
            <w:r w:rsidRPr="00C90A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  <w:b/>
                <w:bCs/>
              </w:rPr>
              <w:t>відповідної</w:t>
            </w:r>
            <w:proofErr w:type="spellEnd"/>
            <w:r w:rsidRPr="00C90A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  <w:b/>
                <w:bCs/>
              </w:rPr>
              <w:t>кваліфікації</w:t>
            </w:r>
            <w:proofErr w:type="spellEnd"/>
            <w:r w:rsidRPr="00C90A2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90A28">
              <w:rPr>
                <w:rFonts w:ascii="Times New Roman" w:hAnsi="Times New Roman" w:cs="Times New Roman"/>
                <w:b/>
                <w:bCs/>
              </w:rPr>
              <w:t>який</w:t>
            </w:r>
            <w:proofErr w:type="spellEnd"/>
            <w:r w:rsidRPr="00C90A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  <w:b/>
                <w:bCs/>
              </w:rPr>
              <w:t>має</w:t>
            </w:r>
            <w:proofErr w:type="spellEnd"/>
            <w:r w:rsidRPr="00C90A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  <w:b/>
                <w:bCs/>
              </w:rPr>
              <w:t>необхідні</w:t>
            </w:r>
            <w:proofErr w:type="spellEnd"/>
            <w:r w:rsidRPr="00C90A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  <w:b/>
                <w:bCs/>
              </w:rPr>
              <w:t>знання</w:t>
            </w:r>
            <w:proofErr w:type="spellEnd"/>
            <w:r w:rsidRPr="00C90A28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C90A28">
              <w:rPr>
                <w:rFonts w:ascii="Times New Roman" w:hAnsi="Times New Roman" w:cs="Times New Roman"/>
                <w:b/>
                <w:bCs/>
              </w:rPr>
              <w:t>досвід</w:t>
            </w:r>
            <w:proofErr w:type="spellEnd"/>
          </w:p>
          <w:p w14:paraId="5E3536FF" w14:textId="77777777" w:rsidR="0033417A" w:rsidRPr="00C90A28" w:rsidRDefault="0033417A" w:rsidP="0033417A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0A28">
              <w:rPr>
                <w:rFonts w:ascii="Times New Roman" w:hAnsi="Times New Roman" w:cs="Times New Roman"/>
              </w:rPr>
              <w:tab/>
            </w:r>
            <w:proofErr w:type="spellStart"/>
            <w:r w:rsidRPr="00C90A28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_________ (</w:t>
            </w:r>
            <w:proofErr w:type="spellStart"/>
            <w:r w:rsidRPr="00C90A28">
              <w:rPr>
                <w:rFonts w:ascii="Times New Roman" w:hAnsi="Times New Roman" w:cs="Times New Roman"/>
              </w:rPr>
              <w:t>зазначається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назву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) на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кваліфікації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які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необхідні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досвід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саме</w:t>
            </w:r>
            <w:proofErr w:type="spellEnd"/>
            <w:r w:rsidRPr="00C90A28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af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654"/>
              <w:gridCol w:w="835"/>
              <w:gridCol w:w="668"/>
              <w:gridCol w:w="1715"/>
              <w:gridCol w:w="748"/>
              <w:gridCol w:w="959"/>
            </w:tblGrid>
            <w:tr w:rsidR="0033417A" w:rsidRPr="00C90A28" w14:paraId="5FEFA5E3" w14:textId="77777777" w:rsidTr="0033417A">
              <w:trPr>
                <w:trHeight w:val="1532"/>
              </w:trPr>
              <w:tc>
                <w:tcPr>
                  <w:tcW w:w="262" w:type="dxa"/>
                </w:tcPr>
                <w:p w14:paraId="3A8BCF25" w14:textId="77777777" w:rsidR="0033417A" w:rsidRPr="00C90A28" w:rsidRDefault="0033417A" w:rsidP="0033417A">
                  <w:pPr>
                    <w:widowControl w:val="0"/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r w:rsidRPr="00C90A28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654" w:type="dxa"/>
                </w:tcPr>
                <w:p w14:paraId="2096979C" w14:textId="77777777" w:rsidR="0033417A" w:rsidRPr="00C90A28" w:rsidRDefault="0033417A" w:rsidP="0033417A">
                  <w:pPr>
                    <w:widowControl w:val="0"/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r w:rsidRPr="00C90A28">
                    <w:rPr>
                      <w:sz w:val="22"/>
                      <w:szCs w:val="22"/>
                    </w:rPr>
                    <w:t>ПІБ</w:t>
                  </w:r>
                </w:p>
              </w:tc>
              <w:tc>
                <w:tcPr>
                  <w:tcW w:w="835" w:type="dxa"/>
                </w:tcPr>
                <w:p w14:paraId="4C42F4FE" w14:textId="77777777" w:rsidR="0033417A" w:rsidRPr="00C90A28" w:rsidRDefault="0033417A" w:rsidP="0033417A">
                  <w:pPr>
                    <w:widowControl w:val="0"/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r w:rsidRPr="00C90A28">
                    <w:rPr>
                      <w:sz w:val="22"/>
                      <w:szCs w:val="22"/>
                    </w:rPr>
                    <w:t>Посада</w:t>
                  </w:r>
                </w:p>
              </w:tc>
              <w:tc>
                <w:tcPr>
                  <w:tcW w:w="668" w:type="dxa"/>
                </w:tcPr>
                <w:p w14:paraId="3FBD8C64" w14:textId="77777777" w:rsidR="0033417A" w:rsidRPr="00C90A28" w:rsidRDefault="0033417A" w:rsidP="0033417A">
                  <w:pPr>
                    <w:widowControl w:val="0"/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C90A28">
                    <w:rPr>
                      <w:sz w:val="22"/>
                      <w:szCs w:val="22"/>
                    </w:rPr>
                    <w:t>Освіта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Спеціалізація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(за дипломом</w:t>
                  </w:r>
                </w:p>
              </w:tc>
              <w:tc>
                <w:tcPr>
                  <w:tcW w:w="1715" w:type="dxa"/>
                </w:tcPr>
                <w:p w14:paraId="65BFA32E" w14:textId="77777777" w:rsidR="0033417A" w:rsidRPr="00C90A28" w:rsidRDefault="0033417A" w:rsidP="0033417A">
                  <w:pPr>
                    <w:widowControl w:val="0"/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C90A28">
                    <w:rPr>
                      <w:sz w:val="22"/>
                      <w:szCs w:val="22"/>
                    </w:rPr>
                    <w:t>свідоцтва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про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присвоєння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підвищення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робітничої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кваліфікації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електромонтера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або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протокол (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витяг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з протоколу) з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підвищення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кваліфікації</w:t>
                  </w:r>
                  <w:proofErr w:type="spellEnd"/>
                </w:p>
              </w:tc>
              <w:tc>
                <w:tcPr>
                  <w:tcW w:w="748" w:type="dxa"/>
                </w:tcPr>
                <w:p w14:paraId="03E40729" w14:textId="77777777" w:rsidR="0033417A" w:rsidRPr="00C90A28" w:rsidRDefault="0033417A" w:rsidP="0033417A">
                  <w:pPr>
                    <w:widowControl w:val="0"/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C90A28">
                    <w:rPr>
                      <w:sz w:val="22"/>
                      <w:szCs w:val="22"/>
                    </w:rPr>
                    <w:t>Досвід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роботи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зазначеній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посаді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Учасника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років</w:t>
                  </w:r>
                  <w:proofErr w:type="spellEnd"/>
                </w:p>
              </w:tc>
              <w:tc>
                <w:tcPr>
                  <w:tcW w:w="959" w:type="dxa"/>
                </w:tcPr>
                <w:p w14:paraId="5DF37580" w14:textId="77777777" w:rsidR="0033417A" w:rsidRPr="00C90A28" w:rsidRDefault="0033417A" w:rsidP="0033417A">
                  <w:pPr>
                    <w:widowControl w:val="0"/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C90A28">
                    <w:rPr>
                      <w:sz w:val="22"/>
                      <w:szCs w:val="22"/>
                    </w:rPr>
                    <w:t>Правові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підстави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використання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праці</w:t>
                  </w:r>
                  <w:proofErr w:type="spellEnd"/>
                  <w:r w:rsidRPr="00C90A2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0A28">
                    <w:rPr>
                      <w:sz w:val="22"/>
                      <w:szCs w:val="22"/>
                    </w:rPr>
                    <w:t>працівника</w:t>
                  </w:r>
                  <w:proofErr w:type="spellEnd"/>
                </w:p>
              </w:tc>
            </w:tr>
            <w:tr w:rsidR="0033417A" w:rsidRPr="00C90A28" w14:paraId="6A128D1C" w14:textId="77777777" w:rsidTr="0033417A">
              <w:trPr>
                <w:trHeight w:val="253"/>
              </w:trPr>
              <w:tc>
                <w:tcPr>
                  <w:tcW w:w="262" w:type="dxa"/>
                </w:tcPr>
                <w:p w14:paraId="07BBCF02" w14:textId="77777777" w:rsidR="0033417A" w:rsidRPr="00C90A28" w:rsidRDefault="0033417A" w:rsidP="0033417A">
                  <w:pPr>
                    <w:widowControl w:val="0"/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4" w:type="dxa"/>
                </w:tcPr>
                <w:p w14:paraId="4B013586" w14:textId="77777777" w:rsidR="0033417A" w:rsidRPr="00C90A28" w:rsidRDefault="0033417A" w:rsidP="0033417A">
                  <w:pPr>
                    <w:widowControl w:val="0"/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</w:tcPr>
                <w:p w14:paraId="086F3F8F" w14:textId="77777777" w:rsidR="0033417A" w:rsidRPr="00C90A28" w:rsidRDefault="0033417A" w:rsidP="0033417A">
                  <w:pPr>
                    <w:widowControl w:val="0"/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8" w:type="dxa"/>
                </w:tcPr>
                <w:p w14:paraId="2EE5F750" w14:textId="77777777" w:rsidR="0033417A" w:rsidRPr="00C90A28" w:rsidRDefault="0033417A" w:rsidP="0033417A">
                  <w:pPr>
                    <w:widowControl w:val="0"/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</w:tcPr>
                <w:p w14:paraId="474D91E7" w14:textId="77777777" w:rsidR="0033417A" w:rsidRPr="00C90A28" w:rsidRDefault="0033417A" w:rsidP="0033417A">
                  <w:pPr>
                    <w:widowControl w:val="0"/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</w:tcPr>
                <w:p w14:paraId="05E31C98" w14:textId="77777777" w:rsidR="0033417A" w:rsidRPr="00C90A28" w:rsidRDefault="0033417A" w:rsidP="0033417A">
                  <w:pPr>
                    <w:widowControl w:val="0"/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</w:tcPr>
                <w:p w14:paraId="74CCA63E" w14:textId="77777777" w:rsidR="0033417A" w:rsidRPr="00C90A28" w:rsidRDefault="0033417A" w:rsidP="0033417A">
                  <w:pPr>
                    <w:widowControl w:val="0"/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4BC5D49" w14:textId="77777777" w:rsidR="0033417A" w:rsidRPr="00C90A28" w:rsidRDefault="0033417A" w:rsidP="003341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0A28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2953ABDD" w14:textId="77777777" w:rsidR="0033417A" w:rsidRPr="00C90A28" w:rsidRDefault="0033417A" w:rsidP="003341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0A28">
              <w:rPr>
                <w:rFonts w:ascii="Times New Roman" w:hAnsi="Times New Roman" w:cs="Times New Roman"/>
              </w:rPr>
              <w:t xml:space="preserve"> (посада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підпис</w:t>
            </w:r>
            <w:proofErr w:type="spellEnd"/>
            <w:r w:rsidRPr="00C90A28">
              <w:rPr>
                <w:rFonts w:ascii="Times New Roman" w:hAnsi="Times New Roman" w:cs="Times New Roman"/>
              </w:rPr>
              <w:t>) (</w:t>
            </w:r>
            <w:proofErr w:type="spellStart"/>
            <w:r w:rsidRPr="00C90A28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ініціали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або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28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C90A28">
              <w:rPr>
                <w:rFonts w:ascii="Times New Roman" w:hAnsi="Times New Roman" w:cs="Times New Roman"/>
              </w:rPr>
              <w:t xml:space="preserve"> ним особи) </w:t>
            </w:r>
          </w:p>
          <w:p w14:paraId="09F4F7CF" w14:textId="77777777" w:rsidR="0033417A" w:rsidRDefault="0033417A" w:rsidP="003341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0A28">
              <w:rPr>
                <w:rFonts w:ascii="Times New Roman" w:hAnsi="Times New Roman" w:cs="Times New Roman"/>
              </w:rPr>
              <w:t xml:space="preserve">М.П. (за </w:t>
            </w:r>
            <w:proofErr w:type="spellStart"/>
            <w:r w:rsidRPr="00C90A28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C90A28">
              <w:rPr>
                <w:rFonts w:ascii="Times New Roman" w:hAnsi="Times New Roman" w:cs="Times New Roman"/>
              </w:rPr>
              <w:t>)</w:t>
            </w:r>
          </w:p>
          <w:p w14:paraId="43E34966" w14:textId="77777777" w:rsidR="00C90A28" w:rsidRPr="00C90A28" w:rsidRDefault="00C90A28" w:rsidP="00C90A28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0A28">
              <w:rPr>
                <w:rFonts w:ascii="Times New Roman" w:hAnsi="Times New Roman" w:cs="Times New Roman"/>
                <w:lang w:val="uk-UA"/>
              </w:rPr>
              <w:t xml:space="preserve">На підтвердження кваліфікації не менше 1 працівника-електромонтера   надати свідоцтва про присвоєння (підвищення) робітничої кваліфікації електромонтера охоронно – пожежної сигналізації та </w:t>
            </w:r>
            <w:proofErr w:type="spellStart"/>
            <w:r w:rsidRPr="00C90A28">
              <w:rPr>
                <w:rFonts w:ascii="Times New Roman" w:hAnsi="Times New Roman" w:cs="Times New Roman"/>
                <w:lang w:val="uk-UA"/>
              </w:rPr>
              <w:t>налагоджувальника</w:t>
            </w:r>
            <w:proofErr w:type="spellEnd"/>
            <w:r w:rsidRPr="00C90A28">
              <w:rPr>
                <w:rFonts w:ascii="Times New Roman" w:hAnsi="Times New Roman" w:cs="Times New Roman"/>
                <w:lang w:val="uk-UA"/>
              </w:rPr>
              <w:t xml:space="preserve"> контрольно – вимірювальних пристроїв і автоматики, або протокол (витяг з протоколу) та посвідчення з підвищення кваліфікації, яке повинно бути дійсне на час проведення закупівлі</w:t>
            </w:r>
          </w:p>
          <w:p w14:paraId="01839970" w14:textId="48B3FC5A" w:rsidR="00C90A28" w:rsidRPr="00C90A28" w:rsidRDefault="00C90A28" w:rsidP="00C90A28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0A28">
              <w:rPr>
                <w:rFonts w:ascii="Times New Roman" w:hAnsi="Times New Roman" w:cs="Times New Roman"/>
                <w:lang w:val="uk-UA"/>
              </w:rPr>
              <w:t>- документи, що підтверджують наявність трудових відносин не менше 1 працівника-електромонтера з учасником (щодо всіх працівників, інформація про яких наведена учасником у довідці).</w:t>
            </w:r>
          </w:p>
          <w:p w14:paraId="30A206D3" w14:textId="77777777" w:rsidR="00C90A28" w:rsidRPr="00C90A28" w:rsidRDefault="00C90A28" w:rsidP="00C90A28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0A28">
              <w:rPr>
                <w:rFonts w:ascii="Times New Roman" w:hAnsi="Times New Roman" w:cs="Times New Roman"/>
                <w:lang w:val="uk-UA"/>
              </w:rPr>
              <w:t>- Протоколи (витяги з протоколів) та посвідчення відповідальної особи (працівника)   з перевірки знань з:</w:t>
            </w:r>
          </w:p>
          <w:p w14:paraId="5A20FF70" w14:textId="1F1D78E7" w:rsidR="00C90A28" w:rsidRPr="00C90A28" w:rsidRDefault="00C90A28" w:rsidP="00C90A28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0A28">
              <w:rPr>
                <w:rFonts w:ascii="Times New Roman" w:hAnsi="Times New Roman" w:cs="Times New Roman"/>
                <w:lang w:val="uk-UA"/>
              </w:rPr>
              <w:t>•</w:t>
            </w:r>
            <w:r w:rsidRPr="00C90A28">
              <w:rPr>
                <w:rFonts w:ascii="Times New Roman" w:hAnsi="Times New Roman" w:cs="Times New Roman"/>
                <w:lang w:val="uk-UA"/>
              </w:rPr>
              <w:tab/>
              <w:t xml:space="preserve">електробезпеки, а саме: Правил технічної експлуатації електроустановок споживачів (  НПАОП 40.1-1.21-98), Правил безпечної експлуатації електроустановок (НПАОП 40.1-1.01-97)  </w:t>
            </w:r>
            <w:r w:rsidRPr="00C90A28">
              <w:rPr>
                <w:rFonts w:ascii="Times New Roman" w:hAnsi="Times New Roman" w:cs="Times New Roman"/>
                <w:lang w:val="uk-UA"/>
              </w:rPr>
              <w:lastRenderedPageBreak/>
              <w:t xml:space="preserve">), Правил експлуатації </w:t>
            </w:r>
            <w:proofErr w:type="spellStart"/>
            <w:r w:rsidRPr="00C90A28">
              <w:rPr>
                <w:rFonts w:ascii="Times New Roman" w:hAnsi="Times New Roman" w:cs="Times New Roman"/>
                <w:lang w:val="uk-UA"/>
              </w:rPr>
              <w:t>електрозахисних</w:t>
            </w:r>
            <w:proofErr w:type="spellEnd"/>
            <w:r w:rsidRPr="00C90A28">
              <w:rPr>
                <w:rFonts w:ascii="Times New Roman" w:hAnsi="Times New Roman" w:cs="Times New Roman"/>
                <w:lang w:val="uk-UA"/>
              </w:rPr>
              <w:t xml:space="preserve"> засобів (НПАОП 40.1-1.07-01) ( Правил улаштування електроустановок (ПУЕ), Правил охорони електричних мереж (ПОЕМ); Правил пожежної безпеки в Україні (НАПБ А.01.001-2014), Правил будови електроустановок. Електрообладнання спеціальних установок (НПАОП 40.1-1.32-01) в обсязі виробничих інструкцій.</w:t>
            </w:r>
          </w:p>
          <w:p w14:paraId="3EF461A0" w14:textId="77777777" w:rsidR="00C90A28" w:rsidRPr="00C90A28" w:rsidRDefault="00C90A28" w:rsidP="00C90A28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0A28">
              <w:rPr>
                <w:rFonts w:ascii="Times New Roman" w:hAnsi="Times New Roman" w:cs="Times New Roman"/>
                <w:lang w:val="uk-UA"/>
              </w:rPr>
              <w:t>•</w:t>
            </w:r>
            <w:r w:rsidRPr="00C90A28">
              <w:rPr>
                <w:rFonts w:ascii="Times New Roman" w:hAnsi="Times New Roman" w:cs="Times New Roman"/>
                <w:lang w:val="uk-UA"/>
              </w:rPr>
              <w:tab/>
              <w:t>безпечних методів виконання робіт на висоті із застосуванням спеціальних страхових засобів згідно вимог НПАОП 0.00-1.15-07 «Правил охорони праці під час виконання робіт на висоті»;</w:t>
            </w:r>
          </w:p>
          <w:p w14:paraId="0E8E20A6" w14:textId="40520D38" w:rsidR="00C90A28" w:rsidRPr="00C90A28" w:rsidRDefault="00C90A28" w:rsidP="00C90A28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0A28">
              <w:rPr>
                <w:rFonts w:ascii="Times New Roman" w:hAnsi="Times New Roman" w:cs="Times New Roman"/>
                <w:lang w:val="uk-UA"/>
              </w:rPr>
              <w:t>•</w:t>
            </w:r>
            <w:r w:rsidRPr="00C90A28">
              <w:rPr>
                <w:rFonts w:ascii="Times New Roman" w:hAnsi="Times New Roman" w:cs="Times New Roman"/>
                <w:lang w:val="uk-UA"/>
              </w:rPr>
              <w:tab/>
              <w:t>безпечних методів виконання робіт з інструментами та пристроями згідно вимог НПАОП 0.00-1.71-13 «Правил охорони праці під час роботи з інструментом та пристроями».</w:t>
            </w:r>
          </w:p>
          <w:p w14:paraId="15D36E5C" w14:textId="77777777" w:rsidR="0033417A" w:rsidRPr="00C90A28" w:rsidRDefault="0033417A" w:rsidP="003341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14:paraId="28DB22B8" w14:textId="77777777" w:rsidR="0033417A" w:rsidRPr="00C90A28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417A" w:rsidRPr="00C90A28" w14:paraId="5A94290C" w14:textId="77777777" w:rsidTr="00991D8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13FE" w14:textId="1188B73B" w:rsidR="0033417A" w:rsidRPr="00C90A28" w:rsidRDefault="0033417A" w:rsidP="009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C90A2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EB90" w14:textId="5BA46AE5" w:rsidR="0033417A" w:rsidRPr="00C90A28" w:rsidRDefault="00C90A28" w:rsidP="0099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0A2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аявність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обладнання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матеріально-технічної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бази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технологій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;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D386" w14:textId="50A5ECF5" w:rsidR="0022108B" w:rsidRPr="0022108B" w:rsidRDefault="0022108B" w:rsidP="002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3.1.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зобов’язаний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довідку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2108B">
              <w:rPr>
                <w:rFonts w:ascii="Times New Roman" w:eastAsia="Times New Roman" w:hAnsi="Times New Roman" w:cs="Times New Roman"/>
              </w:rPr>
              <w:t xml:space="preserve">за 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підписом</w:t>
            </w:r>
            <w:proofErr w:type="spellEnd"/>
            <w:proofErr w:type="gram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посадової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наявної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матеріально-технічної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бази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технологій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 для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матеріально-технічної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бази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технологій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умов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договору а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саме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інструменти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офіс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склад,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транспортний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засіб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>.</w:t>
            </w:r>
          </w:p>
          <w:p w14:paraId="39FF6929" w14:textId="77777777" w:rsidR="0022108B" w:rsidRPr="0022108B" w:rsidRDefault="0022108B" w:rsidP="002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108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підтверджують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право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власності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право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обладнанням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інструментами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матеріально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технічною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базою (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видаткових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накладних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свідоцтва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про право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власності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договору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договору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договору на право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обороно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сальдову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відомість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акт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контрольної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перевірки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інвентаризації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цінностей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>).</w:t>
            </w:r>
          </w:p>
          <w:p w14:paraId="16722D8D" w14:textId="77777777" w:rsidR="0022108B" w:rsidRPr="0022108B" w:rsidRDefault="0022108B" w:rsidP="002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108B">
              <w:rPr>
                <w:rFonts w:ascii="Times New Roman" w:eastAsia="Times New Roman" w:hAnsi="Times New Roman" w:cs="Times New Roman"/>
              </w:rPr>
              <w:t xml:space="preserve">- У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офісного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складського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приміщення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листи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орендодавців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суборендодавців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до 31.12.2024 року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пізніше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>.</w:t>
            </w:r>
          </w:p>
          <w:p w14:paraId="354A4407" w14:textId="77777777" w:rsidR="0022108B" w:rsidRPr="0022108B" w:rsidRDefault="0022108B" w:rsidP="002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108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підтверджують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право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власності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право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транспортним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засобом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свідоцтва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транспортного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засобу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договору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транспортного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засобу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на право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>).</w:t>
            </w:r>
          </w:p>
          <w:p w14:paraId="0B6FC98F" w14:textId="7D209728" w:rsidR="0033417A" w:rsidRPr="00C90A28" w:rsidRDefault="0022108B" w:rsidP="002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108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можливості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подальшого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підключення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сертифікованого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пульта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централізованого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спостереження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>, (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сертифікату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дійсного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на момент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видаткова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накладна,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08B">
              <w:rPr>
                <w:rFonts w:ascii="Times New Roman" w:eastAsia="Times New Roman" w:hAnsi="Times New Roman" w:cs="Times New Roman"/>
              </w:rPr>
              <w:t>купівлі</w:t>
            </w:r>
            <w:proofErr w:type="spellEnd"/>
            <w:r w:rsidRPr="0022108B">
              <w:rPr>
                <w:rFonts w:ascii="Times New Roman" w:eastAsia="Times New Roman" w:hAnsi="Times New Roman" w:cs="Times New Roman"/>
              </w:rPr>
              <w:t xml:space="preserve"> продажу)</w:t>
            </w:r>
          </w:p>
        </w:tc>
      </w:tr>
      <w:tr w:rsidR="00C961A6" w:rsidRPr="00C90A28" w14:paraId="57BB7D1E" w14:textId="77777777" w:rsidTr="00991D8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9328" w14:textId="4EBBC243" w:rsidR="00C961A6" w:rsidRPr="00C90A28" w:rsidRDefault="00C961A6" w:rsidP="009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C90A2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3A20" w14:textId="0FBDB574" w:rsidR="00C961A6" w:rsidRPr="00C90A28" w:rsidRDefault="00C90A28" w:rsidP="0099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0A2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аявність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фінансової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спроможності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яка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підтверджується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фінансовою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звітністю</w:t>
            </w:r>
            <w:proofErr w:type="spellEnd"/>
            <w:r w:rsidRPr="00C90A2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BA3C" w14:textId="5C7A9590" w:rsidR="00C961A6" w:rsidRPr="00C90A28" w:rsidRDefault="0022108B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4.1. </w:t>
            </w:r>
            <w:r w:rsidR="00C961A6" w:rsidRPr="00C90A28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фінансової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спроможності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фінансову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звітність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у скла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ді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«Баланс», «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Звіт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фінансові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результати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>» та «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Звіт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про рух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грошових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Фінансовий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звіт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961A6" w:rsidRPr="00C90A28">
              <w:rPr>
                <w:rFonts w:ascii="Times New Roman" w:eastAsia="Times New Roman" w:hAnsi="Times New Roman" w:cs="Times New Roman"/>
              </w:rPr>
              <w:t>суб’єкта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 малого</w:t>
            </w:r>
            <w:proofErr w:type="gram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підприємництва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» (для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податкову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декларацію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(для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фізичної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особи –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підприємця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) за два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останні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звітні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періоди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відміткою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квитанцією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="00C961A6" w:rsidRPr="00C90A28"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 w:rsidR="00C961A6" w:rsidRPr="00C90A28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34FFC40" w14:textId="23016EFD" w:rsidR="0023694A" w:rsidRDefault="00B34646" w:rsidP="00B34646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  <w:t>.</w:t>
      </w:r>
    </w:p>
    <w:bookmarkEnd w:id="0"/>
    <w:p w14:paraId="69D2A7E3" w14:textId="77777777" w:rsidR="00B34646" w:rsidRPr="00B34646" w:rsidRDefault="00B34646" w:rsidP="00B34646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p w14:paraId="246AD7AC" w14:textId="77777777" w:rsidR="0023694A" w:rsidRDefault="0023694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E0B974" w14:textId="77777777" w:rsidR="0023694A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1537540F" w14:textId="77777777" w:rsidR="0023694A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6A090C7" w14:textId="77777777" w:rsidR="0023694A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58DEE727" w14:textId="77777777" w:rsidR="0023694A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7A569A3B" w14:textId="77777777" w:rsidR="002369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67CC2E" w14:textId="77777777" w:rsidR="0023694A" w:rsidRPr="00522B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410FF91" w14:textId="77777777" w:rsidR="0023694A" w:rsidRPr="00522B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522B9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522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292501" w14:textId="77777777" w:rsidR="0023694A" w:rsidRDefault="0023694A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247D9492" w14:textId="77777777" w:rsidR="002369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00B96C9A" w14:textId="77777777" w:rsidR="002369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6487EEF7" w14:textId="77777777" w:rsidR="0023694A" w:rsidRPr="00522B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2B9A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522B9A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4DE75B36" w14:textId="77777777" w:rsidR="0023694A" w:rsidRDefault="002369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3FA317FC" w14:textId="77777777" w:rsidR="0023694A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8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23694A" w14:paraId="46A62460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F191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06CF2B69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05A1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C01CAF5" w14:textId="77777777" w:rsidR="0023694A" w:rsidRDefault="002369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C7D6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23694A" w14:paraId="0E5BBF87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4339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E56E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696F9363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227D" w14:textId="77777777" w:rsidR="0023694A" w:rsidRPr="00522B9A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67161A55" w14:textId="77777777" w:rsidR="0023694A" w:rsidRPr="00522B9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оприлюднення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6" w:anchor="n61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7" w:anchor="n620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8" w:anchor="n621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9" w:anchor="n627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0" w:anchor="n62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14:paraId="55FD11B5" w14:textId="77777777" w:rsidR="0023694A" w:rsidRPr="00522B9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1" w:anchor="n61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2" w:anchor="n620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3" w:anchor="n621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4" w:anchor="n627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5" w:anchor="n62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689D3CFF" w14:textId="77777777" w:rsidR="0023694A" w:rsidRPr="00522B9A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7339E038" w14:textId="77777777" w:rsidR="0023694A" w:rsidRPr="00522B9A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керівника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3694A" w14:paraId="76B82C96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6932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841F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01F074E7" w14:textId="77777777" w:rsidR="0023694A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7B04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19990BAB" w14:textId="77777777" w:rsidR="0023694A" w:rsidRDefault="0023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1F6166F9" w14:textId="5B4847D9" w:rsidR="0023694A" w:rsidRDefault="0023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  <w:tr w:rsidR="0023694A" w14:paraId="73721347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6983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732C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02A63BC0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E348" w14:textId="77777777" w:rsidR="0023694A" w:rsidRDefault="0023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4A" w14:paraId="68C37C29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7EA1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DFCB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B6E71F2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2CDA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2E7F3059" w14:textId="77777777" w:rsidR="0023694A" w:rsidRDefault="002369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06E9F0C" w14:textId="77777777" w:rsidR="0023694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3694A" w14:paraId="09692A3B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6B99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1FA49710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096C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352A2816" w14:textId="77777777" w:rsidR="0023694A" w:rsidRDefault="002369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A225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3694A" w14:paraId="175C1C52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C32C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2922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83FAF08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89CB" w14:textId="77777777" w:rsidR="0023694A" w:rsidRPr="00522B9A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30F50574" w14:textId="77777777" w:rsidR="0023694A" w:rsidRPr="00522B9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6" w:anchor="n61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7" w:anchor="n620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8" w:anchor="n621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9" w:anchor="n627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0" w:anchor="n62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14:paraId="42DF0706" w14:textId="77777777" w:rsidR="0023694A" w:rsidRPr="00522B9A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21" w:anchor="n61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2" w:anchor="n620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3" w:anchor="n621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4" w:anchor="n627"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5" w:anchor="n628"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522B9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011D4524" w14:textId="77777777" w:rsidR="0023694A" w:rsidRPr="00522B9A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свою роботу, так і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5AF22AAD" w14:textId="77777777" w:rsidR="0023694A" w:rsidRPr="00522B9A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фізичної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особи, яка </w:t>
            </w:r>
            <w:proofErr w:type="gram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є 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proofErr w:type="gram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522B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3694A" w14:paraId="149D0555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74331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7AA0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6302456F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9015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3A5A70E3" w14:textId="77777777" w:rsidR="0023694A" w:rsidRDefault="0023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A98696" w14:textId="7EF94577" w:rsidR="0023694A" w:rsidRDefault="0023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94A" w14:paraId="3B2DFDF4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4360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AE3E" w14:textId="77777777" w:rsidR="00236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530C375F" w14:textId="77777777" w:rsidR="0023694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0FDB" w14:textId="77777777" w:rsidR="0023694A" w:rsidRDefault="0023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94A" w14:paraId="1FBDE269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58B9" w14:textId="77777777" w:rsidR="0023694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9E4F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7D1DBCB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E332" w14:textId="77777777" w:rsidR="00236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2A3A98A" w14:textId="77777777" w:rsidR="0023694A" w:rsidRDefault="00236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ABF357" w14:textId="77777777" w:rsidR="0023694A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a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8962"/>
      </w:tblGrid>
      <w:tr w:rsidR="0023694A" w:rsidRPr="0033417A" w14:paraId="15ED9A29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3323" w14:textId="77777777" w:rsidR="0023694A" w:rsidRPr="0033417A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>Інші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>від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23694A" w:rsidRPr="0033417A" w14:paraId="250BBAC7" w14:textId="77777777" w:rsidTr="0033417A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E591" w14:textId="77777777" w:rsidR="0023694A" w:rsidRPr="0033417A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E13D" w14:textId="77777777" w:rsidR="0023694A" w:rsidRPr="0033417A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тендерна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пропозиція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подається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керівником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зазначеним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Єдиному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державному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реєстрі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юридичних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417A">
              <w:rPr>
                <w:rFonts w:ascii="Times New Roman" w:eastAsia="Times New Roman" w:hAnsi="Times New Roman" w:cs="Times New Roman"/>
              </w:rPr>
              <w:t xml:space="preserve">—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підприємців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громадських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формувань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іншою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особою,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надає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довіреність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доручення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таку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особу.</w:t>
            </w:r>
          </w:p>
        </w:tc>
      </w:tr>
      <w:tr w:rsidR="0023694A" w:rsidRPr="0033417A" w14:paraId="63427397" w14:textId="77777777" w:rsidTr="0033417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210F" w14:textId="77777777" w:rsidR="0023694A" w:rsidRPr="0033417A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2234" w14:textId="77777777" w:rsidR="0023694A" w:rsidRPr="0033417A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>Достовірна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інформація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>вигляді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>довідки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>довільної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>форми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33417A">
              <w:rPr>
                <w:rFonts w:ascii="Times New Roman" w:eastAsia="Times New Roman" w:hAnsi="Times New Roman" w:cs="Times New Roman"/>
              </w:rPr>
              <w:t>у</w:t>
            </w:r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якій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зазначити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дані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чинної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дозвільного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характеру на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виду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господарської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отримання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дозволу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такого виду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>передбачено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color w:val="000000"/>
              </w:rPr>
              <w:t xml:space="preserve"> законом.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Замість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довідки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довільної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форми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учасник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може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надати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чинну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ліцензію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документ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дозвільного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характеру. </w:t>
            </w:r>
          </w:p>
          <w:p w14:paraId="509AF1FE" w14:textId="77777777" w:rsidR="0023694A" w:rsidRPr="0033417A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Надається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лише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разі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якщо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отримання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дозволу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ліцензії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провадження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такого виду </w:t>
            </w:r>
            <w:proofErr w:type="spellStart"/>
            <w:proofErr w:type="gram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господарської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діяльності</w:t>
            </w:r>
            <w:proofErr w:type="spellEnd"/>
            <w:proofErr w:type="gram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>передбачено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законом).</w:t>
            </w:r>
          </w:p>
        </w:tc>
      </w:tr>
      <w:tr w:rsidR="0023694A" w:rsidRPr="0033417A" w14:paraId="5A1CAE08" w14:textId="77777777" w:rsidTr="0033417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4B4A" w14:textId="77777777" w:rsidR="0023694A" w:rsidRPr="0033417A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417A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0AC9" w14:textId="45891D00" w:rsidR="0023694A" w:rsidRPr="00334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17A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бенефіціарний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власник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член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акціонер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частку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в статутному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капіталі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10 і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більше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відсотків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), є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громадянином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Республіки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Білорусь</w:t>
            </w:r>
            <w:proofErr w:type="spellEnd"/>
            <w:r w:rsidR="00BC2E90" w:rsidRPr="0033417A"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C2E90" w:rsidRPr="0033417A">
              <w:rPr>
                <w:rFonts w:ascii="Times New Roman" w:eastAsia="Times New Roman" w:hAnsi="Times New Roman" w:cs="Times New Roman"/>
              </w:rPr>
              <w:t>Ісламської</w:t>
            </w:r>
            <w:proofErr w:type="spellEnd"/>
            <w:r w:rsidR="00BC2E90"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C2E90" w:rsidRPr="0033417A">
              <w:rPr>
                <w:rFonts w:ascii="Times New Roman" w:eastAsia="Times New Roman" w:hAnsi="Times New Roman" w:cs="Times New Roman"/>
              </w:rPr>
              <w:t>Республіки</w:t>
            </w:r>
            <w:proofErr w:type="spellEnd"/>
            <w:r w:rsidR="00BC2E90"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C2E90" w:rsidRPr="0033417A">
              <w:rPr>
                <w:rFonts w:ascii="Times New Roman" w:eastAsia="Times New Roman" w:hAnsi="Times New Roman" w:cs="Times New Roman"/>
              </w:rPr>
              <w:t>Іран</w:t>
            </w:r>
            <w:proofErr w:type="spellEnd"/>
            <w:r w:rsidR="00BC2E90"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r w:rsidRPr="0033417A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проживає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території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законних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підставах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:</w:t>
            </w:r>
          </w:p>
          <w:p w14:paraId="216C7DA4" w14:textId="77777777" w:rsidR="0023694A" w:rsidRPr="0033417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17A"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військовий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квиток,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виданий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іноземцю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уклав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контракт про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проходження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військової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Збройних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Силах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спеціальній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службі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транспорту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гвардії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br/>
              <w:t xml:space="preserve"> •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біженця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притулку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,</w:t>
            </w:r>
            <w:r w:rsidRPr="0033417A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</w:rPr>
              <w:br/>
            </w:r>
            <w:r w:rsidRPr="0033417A"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особи, яка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потребує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додаткового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,</w:t>
            </w:r>
            <w:r w:rsidRPr="0033417A">
              <w:rPr>
                <w:rFonts w:ascii="Times New Roman" w:eastAsia="Times New Roman" w:hAnsi="Times New Roman" w:cs="Times New Roman"/>
              </w:rPr>
              <w:br/>
            </w:r>
            <w:r w:rsidRPr="0033417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br/>
              <w:t xml:space="preserve"> •   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особи,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надано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тимчасовий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,</w:t>
            </w:r>
            <w:r w:rsidRPr="0033417A">
              <w:rPr>
                <w:rFonts w:ascii="Times New Roman" w:eastAsia="Times New Roman" w:hAnsi="Times New Roman" w:cs="Times New Roman"/>
              </w:rPr>
              <w:br/>
            </w:r>
            <w:r w:rsidRPr="0033417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br/>
              <w:t xml:space="preserve"> •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територіальної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громади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зареєстроване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задеклароване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перебування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) особи разом з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посвідкою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тимчасове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посвідкою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постійне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візою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.</w:t>
            </w:r>
            <w:r w:rsidRPr="0033417A">
              <w:rPr>
                <w:rFonts w:ascii="Times New Roman" w:eastAsia="Times New Roman" w:hAnsi="Times New Roman" w:cs="Times New Roman"/>
              </w:rPr>
              <w:br/>
            </w:r>
            <w:r w:rsidRPr="0033417A">
              <w:rPr>
                <w:rFonts w:ascii="Times New Roman" w:eastAsia="Times New Roman" w:hAnsi="Times New Roman" w:cs="Times New Roman"/>
              </w:rPr>
              <w:br/>
              <w:t xml:space="preserve"> 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передані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Національному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агентству з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розшуку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активами,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одержаними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корупційних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злочинів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:</w:t>
            </w:r>
            <w:r w:rsidRPr="0033417A">
              <w:rPr>
                <w:rFonts w:ascii="Times New Roman" w:eastAsia="Times New Roman" w:hAnsi="Times New Roman" w:cs="Times New Roman"/>
              </w:rPr>
              <w:br/>
              <w:t xml:space="preserve"> • Ухвалу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слідчого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судді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суду,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арешту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активів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,</w:t>
            </w:r>
            <w:r w:rsidRPr="0033417A">
              <w:rPr>
                <w:rFonts w:ascii="Times New Roman" w:eastAsia="Times New Roman" w:hAnsi="Times New Roman" w:cs="Times New Roman"/>
              </w:rPr>
              <w:br/>
            </w:r>
            <w:r w:rsidRPr="0033417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</w:rPr>
              <w:br/>
            </w:r>
            <w:r w:rsidRPr="0033417A"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Нотаріально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засвідчену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власника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активами,</w:t>
            </w:r>
            <w:r w:rsidRPr="0033417A">
              <w:rPr>
                <w:rFonts w:ascii="Times New Roman" w:eastAsia="Times New Roman" w:hAnsi="Times New Roman" w:cs="Times New Roman"/>
              </w:rPr>
              <w:br/>
              <w:t xml:space="preserve"> а також:</w:t>
            </w:r>
            <w:r w:rsidRPr="0033417A">
              <w:rPr>
                <w:rFonts w:ascii="Times New Roman" w:eastAsia="Times New Roman" w:hAnsi="Times New Roman" w:cs="Times New Roman"/>
              </w:rPr>
              <w:br/>
              <w:t xml:space="preserve"> •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майном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укладений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Національним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агентством з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розшуку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активами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одержаними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корупційних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злочинів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управителем,</w:t>
            </w:r>
            <w:r w:rsidRPr="0033417A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  <w:i/>
              </w:rPr>
              <w:br/>
            </w:r>
            <w:r w:rsidRPr="0033417A"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активами, на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накладено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арешт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кримінальному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провадженні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3417A" w:rsidRPr="0033417A" w14:paraId="527C9FF7" w14:textId="77777777" w:rsidTr="0033417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1533" w14:textId="6851B943" w:rsidR="0033417A" w:rsidRPr="0033417A" w:rsidRDefault="0033417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3417A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15B2" w14:textId="77777777" w:rsidR="0033417A" w:rsidRPr="0033417A" w:rsidRDefault="0033417A" w:rsidP="0033417A">
            <w:pPr>
              <w:tabs>
                <w:tab w:val="left" w:pos="2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417A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33417A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встановленою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формою:</w:t>
            </w:r>
          </w:p>
          <w:p w14:paraId="1A9B2EB3" w14:textId="77777777" w:rsidR="0033417A" w:rsidRPr="0033417A" w:rsidRDefault="0033417A" w:rsidP="0033417A">
            <w:pPr>
              <w:pStyle w:val="afd"/>
              <w:tabs>
                <w:tab w:val="left" w:pos="2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3417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Форма “ВІДОМОСТІ ПРО УЧАСНИКА”.</w:t>
            </w:r>
          </w:p>
          <w:p w14:paraId="4E5B451F" w14:textId="77777777" w:rsidR="0033417A" w:rsidRPr="0033417A" w:rsidRDefault="0033417A" w:rsidP="0033417A">
            <w:pPr>
              <w:pStyle w:val="afd"/>
              <w:numPr>
                <w:ilvl w:val="0"/>
                <w:numId w:val="8"/>
              </w:numPr>
              <w:tabs>
                <w:tab w:val="clear" w:pos="0"/>
                <w:tab w:val="left" w:pos="226"/>
                <w:tab w:val="num" w:pos="535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341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Повна та скорочена назва учасника:</w:t>
            </w:r>
          </w:p>
          <w:p w14:paraId="1E7783AA" w14:textId="77777777" w:rsidR="0033417A" w:rsidRPr="0033417A" w:rsidRDefault="0033417A" w:rsidP="0033417A">
            <w:pPr>
              <w:pStyle w:val="afd"/>
              <w:numPr>
                <w:ilvl w:val="0"/>
                <w:numId w:val="8"/>
              </w:numPr>
              <w:tabs>
                <w:tab w:val="clear" w:pos="0"/>
                <w:tab w:val="left" w:pos="226"/>
                <w:tab w:val="num" w:pos="535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341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6A02DC95" w14:textId="77777777" w:rsidR="0033417A" w:rsidRPr="0033417A" w:rsidRDefault="0033417A" w:rsidP="0033417A">
            <w:pPr>
              <w:pStyle w:val="afd"/>
              <w:numPr>
                <w:ilvl w:val="0"/>
                <w:numId w:val="8"/>
              </w:numPr>
              <w:tabs>
                <w:tab w:val="clear" w:pos="0"/>
                <w:tab w:val="left" w:pos="226"/>
                <w:tab w:val="num" w:pos="535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341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Місце та дата проведення державної реєстрації учасника:</w:t>
            </w:r>
          </w:p>
          <w:p w14:paraId="31095A73" w14:textId="77777777" w:rsidR="0033417A" w:rsidRPr="0033417A" w:rsidRDefault="0033417A" w:rsidP="0033417A">
            <w:pPr>
              <w:pStyle w:val="afd"/>
              <w:numPr>
                <w:ilvl w:val="0"/>
                <w:numId w:val="8"/>
              </w:numPr>
              <w:tabs>
                <w:tab w:val="clear" w:pos="0"/>
                <w:tab w:val="left" w:pos="226"/>
                <w:tab w:val="num" w:pos="535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341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Організаційно-правова форма:</w:t>
            </w:r>
          </w:p>
          <w:p w14:paraId="4EDFC2AC" w14:textId="77777777" w:rsidR="0033417A" w:rsidRPr="0033417A" w:rsidRDefault="0033417A" w:rsidP="0033417A">
            <w:pPr>
              <w:pStyle w:val="afd"/>
              <w:numPr>
                <w:ilvl w:val="0"/>
                <w:numId w:val="8"/>
              </w:numPr>
              <w:tabs>
                <w:tab w:val="clear" w:pos="0"/>
                <w:tab w:val="left" w:pos="226"/>
                <w:tab w:val="num" w:pos="535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341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Форма власності.</w:t>
            </w:r>
          </w:p>
          <w:p w14:paraId="793C129A" w14:textId="77777777" w:rsidR="0033417A" w:rsidRPr="0033417A" w:rsidRDefault="0033417A" w:rsidP="0033417A">
            <w:pPr>
              <w:pStyle w:val="afd"/>
              <w:numPr>
                <w:ilvl w:val="0"/>
                <w:numId w:val="8"/>
              </w:numPr>
              <w:tabs>
                <w:tab w:val="clear" w:pos="0"/>
                <w:tab w:val="left" w:pos="226"/>
                <w:tab w:val="num" w:pos="535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341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Юридична адреса.</w:t>
            </w:r>
          </w:p>
          <w:p w14:paraId="10A2A126" w14:textId="77777777" w:rsidR="0033417A" w:rsidRPr="0033417A" w:rsidRDefault="0033417A" w:rsidP="0033417A">
            <w:pPr>
              <w:pStyle w:val="afd"/>
              <w:numPr>
                <w:ilvl w:val="0"/>
                <w:numId w:val="8"/>
              </w:numPr>
              <w:tabs>
                <w:tab w:val="clear" w:pos="0"/>
                <w:tab w:val="left" w:pos="226"/>
                <w:tab w:val="num" w:pos="535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341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Поштова адреса.</w:t>
            </w:r>
          </w:p>
          <w:p w14:paraId="3622073E" w14:textId="4A0CE461" w:rsidR="0033417A" w:rsidRPr="0033417A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17A">
              <w:rPr>
                <w:rFonts w:ascii="Times New Roman" w:hAnsi="Times New Roman" w:cs="Times New Roman"/>
                <w:lang w:val="uk-UA"/>
              </w:rPr>
              <w:t>Види діяльності.</w:t>
            </w:r>
          </w:p>
        </w:tc>
      </w:tr>
      <w:tr w:rsidR="0033417A" w:rsidRPr="0033417A" w14:paraId="72B94B24" w14:textId="77777777" w:rsidTr="0033417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7A3A" w14:textId="173DE93C" w:rsidR="0033417A" w:rsidRPr="0033417A" w:rsidRDefault="0033417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3417A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005A" w14:textId="7B055940" w:rsidR="0033417A" w:rsidRPr="0033417A" w:rsidRDefault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17A">
              <w:rPr>
                <w:rFonts w:ascii="Times New Roman" w:eastAsia="Times New Roman" w:hAnsi="Times New Roman" w:cs="Times New Roman"/>
                <w:lang w:val="uk-UA"/>
              </w:rPr>
              <w:t xml:space="preserve">Гарантійний лист про </w:t>
            </w:r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можливості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кількості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в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терміни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цією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тендерною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документацію</w:t>
            </w:r>
            <w:proofErr w:type="spellEnd"/>
          </w:p>
        </w:tc>
      </w:tr>
      <w:tr w:rsidR="0033417A" w:rsidRPr="0033417A" w14:paraId="2470013D" w14:textId="77777777" w:rsidTr="0033417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B49F" w14:textId="4434D38F" w:rsidR="0033417A" w:rsidRPr="0033417A" w:rsidRDefault="0033417A" w:rsidP="0033417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3417A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2E4D" w14:textId="583E4B75" w:rsidR="0033417A" w:rsidRPr="0033417A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17A">
              <w:rPr>
                <w:rFonts w:ascii="Times New Roman" w:hAnsi="Times New Roman" w:cs="Times New Roman"/>
              </w:rPr>
              <w:t>Учасники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підготовці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враховувати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заходи </w:t>
            </w:r>
            <w:proofErr w:type="spellStart"/>
            <w:r w:rsidRPr="0033417A">
              <w:rPr>
                <w:rFonts w:ascii="Times New Roman" w:hAnsi="Times New Roman" w:cs="Times New Roman"/>
              </w:rPr>
              <w:t>щодо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довкілля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3417A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подається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3417A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підписом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особи </w:t>
            </w:r>
            <w:proofErr w:type="spellStart"/>
            <w:r w:rsidRPr="0033417A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про заходи </w:t>
            </w:r>
            <w:proofErr w:type="spellStart"/>
            <w:r w:rsidRPr="0033417A">
              <w:rPr>
                <w:rFonts w:ascii="Times New Roman" w:hAnsi="Times New Roman" w:cs="Times New Roman"/>
              </w:rPr>
              <w:t>щодо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довкілля</w:t>
            </w:r>
            <w:proofErr w:type="spellEnd"/>
            <w:r w:rsidRPr="0033417A">
              <w:rPr>
                <w:rFonts w:ascii="Times New Roman" w:hAnsi="Times New Roman" w:cs="Times New Roman"/>
              </w:rPr>
              <w:t>.</w:t>
            </w:r>
          </w:p>
        </w:tc>
      </w:tr>
      <w:tr w:rsidR="0033417A" w:rsidRPr="0033417A" w14:paraId="268915FC" w14:textId="77777777" w:rsidTr="0033417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6357" w14:textId="7E43C359" w:rsidR="0033417A" w:rsidRPr="0033417A" w:rsidRDefault="0033417A" w:rsidP="0033417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3417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9E32" w14:textId="77777777" w:rsidR="0033417A" w:rsidRPr="0033417A" w:rsidRDefault="0033417A" w:rsidP="0033417A">
            <w:pPr>
              <w:jc w:val="both"/>
              <w:rPr>
                <w:rFonts w:ascii="Times New Roman" w:hAnsi="Times New Roman" w:cs="Times New Roman"/>
              </w:rPr>
            </w:pPr>
            <w:r w:rsidRPr="0033417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Гарантійний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лист в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щодо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погодження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з проектом договору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№3 </w:t>
            </w:r>
            <w:proofErr w:type="spellStart"/>
            <w:r w:rsidRPr="0033417A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33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33417A">
              <w:rPr>
                <w:rFonts w:ascii="Times New Roman" w:hAnsi="Times New Roman" w:cs="Times New Roman"/>
              </w:rPr>
              <w:t>.</w:t>
            </w:r>
          </w:p>
          <w:p w14:paraId="16B7DC3F" w14:textId="49C3F967" w:rsidR="0033417A" w:rsidRPr="0033417A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3417A" w:rsidRPr="0033417A" w14:paraId="6FF58F21" w14:textId="77777777" w:rsidTr="0033417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9DEB" w14:textId="3B6C5BE9" w:rsidR="0033417A" w:rsidRPr="0033417A" w:rsidRDefault="0033417A" w:rsidP="0033417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3417A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8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2142" w14:textId="073C9D54" w:rsidR="0033417A" w:rsidRPr="0033417A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(-</w:t>
            </w:r>
            <w:proofErr w:type="spellStart"/>
            <w:proofErr w:type="gramStart"/>
            <w:r w:rsidRPr="0033417A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)  в</w:t>
            </w:r>
            <w:proofErr w:type="gram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згоду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Закону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публічні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», повинна бути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підписана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уповноваженим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представником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працівниками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3417A" w:rsidRPr="0033417A" w14:paraId="3B407C22" w14:textId="77777777" w:rsidTr="0033417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0247" w14:textId="0E16D137" w:rsidR="0033417A" w:rsidRPr="0033417A" w:rsidRDefault="0033417A" w:rsidP="0033417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3417A"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201C" w14:textId="473D19E2" w:rsidR="0033417A" w:rsidRPr="0033417A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Гарантійний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лист 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3417A"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яким</w:t>
            </w:r>
            <w:proofErr w:type="spellEnd"/>
            <w:proofErr w:type="gram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гарантує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вся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вказана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ним 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достовірною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а сам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чинного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обізнаний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відповідальність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завідомо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недостовірних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підробку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33417A" w:rsidRPr="0033417A" w14:paraId="7BC46C2B" w14:textId="77777777" w:rsidTr="0033417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92B0" w14:textId="6585F6DD" w:rsidR="0033417A" w:rsidRPr="0033417A" w:rsidRDefault="0033417A" w:rsidP="0033417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3417A">
              <w:rPr>
                <w:rFonts w:ascii="Times New Roman" w:eastAsia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5EF9" w14:textId="5D024C41" w:rsidR="0033417A" w:rsidRPr="0033417A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Л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ист-гарантію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складену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за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підписом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завірену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печаткою (за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дотримання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своїй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норм чинного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в тому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: Закону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», указам Президента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№133/2017 «Про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РНБО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28.04.2017р. «Про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спеціальних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економічних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обмежувальних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санкцій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)», № 126/2018 «Про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РНБО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02.05.2018 «Про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скасування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спеціальних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економічних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обмежувальних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санкцій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)», № 82/2019 «Про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РНБО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19.03.2019 «Про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скасування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змін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спеціальних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економічних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обмежувальних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санкцій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)» та 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порушення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норм,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визначених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постановою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30.12.2015 №1147 «Про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заборону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ввезення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митну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територію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походять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»;</w:t>
            </w:r>
          </w:p>
        </w:tc>
      </w:tr>
      <w:tr w:rsidR="0033417A" w:rsidRPr="0033417A" w14:paraId="7903E472" w14:textId="77777777" w:rsidTr="0033417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EBB0" w14:textId="530DBCA9" w:rsidR="0033417A" w:rsidRPr="0033417A" w:rsidRDefault="0033417A" w:rsidP="0033417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3417A">
              <w:rPr>
                <w:rFonts w:ascii="Times New Roman" w:eastAsia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BF04" w14:textId="77777777" w:rsidR="0033417A" w:rsidRPr="0033417A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підписом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товар/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пропонуються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торгах, не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вироблений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і не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імпортований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територію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здійснює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відкрите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приховане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протистояння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військове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економічне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юридичне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інше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фінансує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терористичні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сепаратистські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екстремістські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представників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.</w:t>
            </w:r>
          </w:p>
          <w:p w14:paraId="00D4A67E" w14:textId="77777777" w:rsidR="0033417A" w:rsidRPr="0033417A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417A" w:rsidRPr="0033417A" w14:paraId="5B238294" w14:textId="77777777" w:rsidTr="0033417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A018" w14:textId="444D1565" w:rsidR="0033417A" w:rsidRPr="0033417A" w:rsidRDefault="0033417A" w:rsidP="0033417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3417A">
              <w:rPr>
                <w:rFonts w:ascii="Times New Roman" w:eastAsia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8419" w14:textId="3671D3D4" w:rsidR="0033417A" w:rsidRPr="0033417A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підписом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склад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керівного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органу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не є резидентами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Республіки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Білорусь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а також не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утворені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не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зареєстровані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Республіки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Білорусь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утворені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зареєстровані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власники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істотної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 також не є резидентами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країн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здійснює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відкрите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приховане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протистояння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військове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економічне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юридичне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інше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фінансує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терористичні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сепаратистські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екстремістські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17A">
              <w:rPr>
                <w:rFonts w:ascii="Times New Roman" w:eastAsia="Times New Roman" w:hAnsi="Times New Roman" w:cs="Times New Roman"/>
              </w:rPr>
              <w:t>представників</w:t>
            </w:r>
            <w:proofErr w:type="spellEnd"/>
            <w:r w:rsidRPr="0033417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194D3E41" w14:textId="77777777" w:rsidR="0023694A" w:rsidRDefault="00236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369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0"/>
        </w:tabs>
        <w:ind w:left="2496" w:hanging="360"/>
      </w:pPr>
      <w:rPr>
        <w:rFonts w:ascii="Times New Roman" w:hAnsi="Times New Roman" w:cs="Times New Roman"/>
        <w:b w:val="0"/>
        <w:sz w:val="23"/>
      </w:rPr>
    </w:lvl>
  </w:abstractNum>
  <w:abstractNum w:abstractNumId="1" w15:restartNumberingAfterBreak="0">
    <w:nsid w:val="013457F2"/>
    <w:multiLevelType w:val="multilevel"/>
    <w:tmpl w:val="7726712E"/>
    <w:lvl w:ilvl="0">
      <w:start w:val="1"/>
      <w:numFmt w:val="decimal"/>
      <w:lvlText w:val="%1."/>
      <w:lvlJc w:val="left"/>
      <w:pPr>
        <w:ind w:left="537" w:hanging="28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90" w:hanging="36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673" w:hanging="36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07" w:hanging="36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1" w:hanging="3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75" w:hanging="3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08" w:hanging="3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42" w:hanging="3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76" w:hanging="365"/>
      </w:pPr>
      <w:rPr>
        <w:rFonts w:hint="default"/>
        <w:lang w:val="en-US" w:eastAsia="en-US" w:bidi="en-US"/>
      </w:rPr>
    </w:lvl>
  </w:abstractNum>
  <w:abstractNum w:abstractNumId="2" w15:restartNumberingAfterBreak="0">
    <w:nsid w:val="023731BB"/>
    <w:multiLevelType w:val="multilevel"/>
    <w:tmpl w:val="4308E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A86832"/>
    <w:multiLevelType w:val="multilevel"/>
    <w:tmpl w:val="3F6C7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76836AA"/>
    <w:multiLevelType w:val="multilevel"/>
    <w:tmpl w:val="9E4AF04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C407E1"/>
    <w:multiLevelType w:val="multilevel"/>
    <w:tmpl w:val="D7CC4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8BD7664"/>
    <w:multiLevelType w:val="multilevel"/>
    <w:tmpl w:val="57E0890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28C23EC"/>
    <w:multiLevelType w:val="multilevel"/>
    <w:tmpl w:val="A498F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75735312">
    <w:abstractNumId w:val="7"/>
  </w:num>
  <w:num w:numId="2" w16cid:durableId="958074403">
    <w:abstractNumId w:val="5"/>
  </w:num>
  <w:num w:numId="3" w16cid:durableId="473329005">
    <w:abstractNumId w:val="6"/>
  </w:num>
  <w:num w:numId="4" w16cid:durableId="1265262309">
    <w:abstractNumId w:val="2"/>
  </w:num>
  <w:num w:numId="5" w16cid:durableId="1981958798">
    <w:abstractNumId w:val="3"/>
  </w:num>
  <w:num w:numId="6" w16cid:durableId="1257060741">
    <w:abstractNumId w:val="4"/>
  </w:num>
  <w:num w:numId="7" w16cid:durableId="1975791668">
    <w:abstractNumId w:val="1"/>
  </w:num>
  <w:num w:numId="8" w16cid:durableId="103712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4A"/>
    <w:rsid w:val="00025533"/>
    <w:rsid w:val="0022108B"/>
    <w:rsid w:val="0023694A"/>
    <w:rsid w:val="0033417A"/>
    <w:rsid w:val="00334EAE"/>
    <w:rsid w:val="004070A9"/>
    <w:rsid w:val="00411525"/>
    <w:rsid w:val="00462876"/>
    <w:rsid w:val="00522B9A"/>
    <w:rsid w:val="0076427A"/>
    <w:rsid w:val="008A7DA8"/>
    <w:rsid w:val="00AC0160"/>
    <w:rsid w:val="00B34646"/>
    <w:rsid w:val="00B569C5"/>
    <w:rsid w:val="00BC2E90"/>
    <w:rsid w:val="00C90A28"/>
    <w:rsid w:val="00C961A6"/>
    <w:rsid w:val="00D3509C"/>
    <w:rsid w:val="00F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D93B"/>
  <w15:docId w15:val="{15CFE1DA-FF51-492B-B036-383AC3BC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название табл/рис,заголовок 1.1,Bullet Number,Bullet 1,Use Case List Paragraph,lp1,List Paragraph1,lp11,List Paragraph11,Список уровня 2,Details,EBRD List,CA bullets,1 Буллет,Elenco Normale,AC List 01,List Paragraph,Chapter10,Заголовок 1.1"/>
    <w:basedOn w:val="a"/>
    <w:link w:val="a7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c">
    <w:name w:val="Table Grid"/>
    <w:basedOn w:val="a1"/>
    <w:uiPriority w:val="39"/>
    <w:rsid w:val="00334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у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,Details Знак,EBRD List Знак,CA bullets Знак"/>
    <w:link w:val="a6"/>
    <w:qFormat/>
    <w:locked/>
    <w:rsid w:val="0033417A"/>
  </w:style>
  <w:style w:type="paragraph" w:customStyle="1" w:styleId="afd">
    <w:name w:val="Знак Знак Знак Знак Знак"/>
    <w:basedOn w:val="a"/>
    <w:qFormat/>
    <w:rsid w:val="003341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18024</Words>
  <Characters>10274</Characters>
  <Application>Microsoft Office Word</Application>
  <DocSecurity>0</DocSecurity>
  <Lines>85</Lines>
  <Paragraphs>56</Paragraphs>
  <ScaleCrop>false</ScaleCrop>
  <Company/>
  <LinksUpToDate>false</LinksUpToDate>
  <CharactersWithSpaces>28242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Іван Федан</cp:lastModifiedBy>
  <cp:revision>22</cp:revision>
  <dcterms:created xsi:type="dcterms:W3CDTF">2022-10-24T07:10:00Z</dcterms:created>
  <dcterms:modified xsi:type="dcterms:W3CDTF">2024-04-04T18:09:00Z</dcterms:modified>
</cp:coreProperties>
</file>