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4E0A6B8B"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0CC811E" w14:textId="3CBA9F5F" w:rsidR="00D06668" w:rsidRPr="00D06668" w:rsidRDefault="00D06668"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53C97900"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044B6C">
        <w:rPr>
          <w:rFonts w:ascii="Times New Roman" w:hAnsi="Times New Roman"/>
          <w:sz w:val="24"/>
          <w:szCs w:val="24"/>
        </w:rPr>
        <w:t>12 від «08</w:t>
      </w:r>
      <w:r w:rsidR="00C23A9E">
        <w:rPr>
          <w:rFonts w:ascii="Times New Roman" w:hAnsi="Times New Roman"/>
          <w:sz w:val="24"/>
          <w:szCs w:val="24"/>
        </w:rPr>
        <w:t>» січ</w:t>
      </w:r>
      <w:r w:rsidR="009C34C2">
        <w:rPr>
          <w:rFonts w:ascii="Times New Roman" w:hAnsi="Times New Roman"/>
          <w:sz w:val="24"/>
          <w:szCs w:val="24"/>
        </w:rPr>
        <w:t>ня</w:t>
      </w:r>
      <w:r>
        <w:rPr>
          <w:rFonts w:ascii="Times New Roman" w:hAnsi="Times New Roman"/>
          <w:sz w:val="24"/>
          <w:szCs w:val="24"/>
        </w:rPr>
        <w:t xml:space="preserve"> </w:t>
      </w:r>
      <w:r w:rsidR="00C23A9E">
        <w:rPr>
          <w:rFonts w:ascii="Times New Roman" w:hAnsi="Times New Roman"/>
          <w:sz w:val="24"/>
          <w:szCs w:val="24"/>
        </w:rPr>
        <w:t>2024</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3FF38785"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044B6C">
        <w:rPr>
          <w:rFonts w:ascii="Times New Roman" w:eastAsia="Calibri" w:hAnsi="Times New Roman" w:cs="Times New Roman"/>
          <w:sz w:val="24"/>
          <w:szCs w:val="24"/>
          <w:lang w:val="ru-RU"/>
        </w:rPr>
        <w:t>«08</w:t>
      </w:r>
      <w:r w:rsidR="00C23A9E">
        <w:rPr>
          <w:rFonts w:ascii="Times New Roman" w:eastAsia="Calibri" w:hAnsi="Times New Roman" w:cs="Times New Roman"/>
          <w:sz w:val="24"/>
          <w:szCs w:val="24"/>
          <w:lang w:val="ru-RU"/>
        </w:rPr>
        <w:t xml:space="preserve">» </w:t>
      </w:r>
      <w:proofErr w:type="gramStart"/>
      <w:r w:rsidR="00C23A9E">
        <w:rPr>
          <w:rFonts w:ascii="Times New Roman" w:eastAsia="Calibri" w:hAnsi="Times New Roman" w:cs="Times New Roman"/>
          <w:sz w:val="24"/>
          <w:szCs w:val="24"/>
          <w:lang w:val="ru-RU"/>
        </w:rPr>
        <w:t>січ</w:t>
      </w:r>
      <w:r w:rsidR="009C34C2">
        <w:rPr>
          <w:rFonts w:ascii="Times New Roman" w:eastAsia="Calibri" w:hAnsi="Times New Roman" w:cs="Times New Roman"/>
          <w:sz w:val="24"/>
          <w:szCs w:val="24"/>
          <w:lang w:val="ru-RU"/>
        </w:rPr>
        <w:t xml:space="preserve">ня </w:t>
      </w:r>
      <w:r w:rsidR="00C23A9E">
        <w:rPr>
          <w:rFonts w:ascii="Times New Roman" w:eastAsia="Calibri" w:hAnsi="Times New Roman" w:cs="Times New Roman"/>
          <w:sz w:val="24"/>
          <w:szCs w:val="24"/>
          <w:lang w:val="ru-RU"/>
        </w:rPr>
        <w:t xml:space="preserve"> 2024</w:t>
      </w:r>
      <w:proofErr w:type="gramEnd"/>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70B4FFBC" w:rsidR="00A339F7" w:rsidRPr="00A339F7" w:rsidRDefault="008B428F"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Яйця курячі столові С-1</w:t>
      </w:r>
      <w:r w:rsidR="009C34C2">
        <w:rPr>
          <w:rFonts w:ascii="Times New Roman" w:eastAsia="Times New Roman" w:hAnsi="Times New Roman" w:cs="Times New Roman"/>
          <w:b/>
          <w:iCs/>
          <w:sz w:val="24"/>
          <w:szCs w:val="24"/>
        </w:rPr>
        <w:t xml:space="preserve"> </w:t>
      </w:r>
    </w:p>
    <w:p w14:paraId="52119404" w14:textId="07219D74"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 xml:space="preserve">(код за ДК 021: 2015 </w:t>
      </w:r>
      <w:r w:rsidR="008B428F">
        <w:rPr>
          <w:rFonts w:ascii="Times New Roman" w:hAnsi="Times New Roman"/>
          <w:b/>
          <w:sz w:val="24"/>
        </w:rPr>
        <w:t>–</w:t>
      </w:r>
      <w:r w:rsidRPr="00A339F7">
        <w:rPr>
          <w:rFonts w:ascii="Times New Roman" w:hAnsi="Times New Roman"/>
          <w:b/>
          <w:sz w:val="24"/>
        </w:rPr>
        <w:t xml:space="preserve"> </w:t>
      </w:r>
      <w:r w:rsidR="00D6735C">
        <w:rPr>
          <w:rFonts w:ascii="Times New Roman" w:hAnsi="Times New Roman"/>
          <w:b/>
          <w:sz w:val="24"/>
        </w:rPr>
        <w:t xml:space="preserve">03140000-4 – </w:t>
      </w:r>
      <w:r w:rsidR="008B428F">
        <w:rPr>
          <w:rFonts w:ascii="Times New Roman" w:eastAsia="Times New Roman" w:hAnsi="Times New Roman" w:cs="Times New Roman"/>
          <w:b/>
          <w:iCs/>
          <w:sz w:val="24"/>
          <w:szCs w:val="24"/>
        </w:rPr>
        <w:t>Продукція тваринництва та супутня продукція</w:t>
      </w:r>
      <w:r>
        <w:rPr>
          <w:rFonts w:ascii="Times New Roman" w:eastAsia="Times New Roman" w:hAnsi="Times New Roman" w:cs="Times New Roman"/>
          <w:b/>
          <w:iCs/>
          <w:sz w:val="24"/>
          <w:szCs w:val="24"/>
        </w:rPr>
        <w:t>)</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77777777"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2D7390F" w14:textId="77777777" w:rsidR="008B428F" w:rsidRDefault="008B428F"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6D383" w14:textId="2B4F78B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214EBA">
        <w:rPr>
          <w:rFonts w:ascii="Times New Roman" w:eastAsia="Arial" w:hAnsi="Times New Roman" w:cs="Times New Roman"/>
          <w:b/>
          <w:color w:val="000000"/>
          <w:sz w:val="28"/>
          <w:szCs w:val="28"/>
          <w:lang w:eastAsia="ru-RU"/>
        </w:rPr>
        <w:t xml:space="preserve"> – 2024</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5159329A" w:rsidR="003648CF" w:rsidRPr="007A6B25" w:rsidRDefault="00D6735C" w:rsidP="009C34C2">
            <w:pPr>
              <w:shd w:val="clear" w:color="auto" w:fill="FFFFFF"/>
              <w:spacing w:after="0" w:line="240" w:lineRule="auto"/>
              <w:rPr>
                <w:rFonts w:ascii="Times New Roman" w:hAnsi="Times New Roman" w:cs="Times New Roman"/>
                <w:b/>
                <w:i/>
                <w:lang w:eastAsia="uk-UA"/>
              </w:rPr>
            </w:pPr>
            <w:r>
              <w:rPr>
                <w:rFonts w:ascii="Times New Roman" w:hAnsi="Times New Roman"/>
                <w:b/>
              </w:rPr>
              <w:t>Яйця курячі столові С-1</w:t>
            </w:r>
            <w:r w:rsidR="006012DC">
              <w:rPr>
                <w:rFonts w:ascii="Times New Roman" w:eastAsia="Times New Roman" w:hAnsi="Times New Roman" w:cs="Times New Roman"/>
                <w:b/>
                <w:iCs/>
              </w:rPr>
              <w:t xml:space="preserve"> (код за ДК 021:2015 – 03140000-4</w:t>
            </w:r>
            <w:r w:rsidR="00085CF5">
              <w:rPr>
                <w:rFonts w:ascii="Times New Roman" w:eastAsia="Times New Roman" w:hAnsi="Times New Roman" w:cs="Times New Roman"/>
                <w:b/>
                <w:iCs/>
              </w:rPr>
              <w:t xml:space="preserve"> </w:t>
            </w:r>
            <w:r w:rsidR="006012DC">
              <w:rPr>
                <w:rFonts w:ascii="Times New Roman" w:eastAsia="Times New Roman" w:hAnsi="Times New Roman" w:cs="Times New Roman"/>
                <w:b/>
                <w:iCs/>
              </w:rPr>
              <w:t>Продукція тваринництва та супутня продукція</w:t>
            </w:r>
            <w:r w:rsidR="009C34C2">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5C72EF56"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085CF5">
              <w:rPr>
                <w:rFonts w:ascii="Times New Roman" w:eastAsia="Times New Roman" w:hAnsi="Times New Roman" w:cs="Times New Roman"/>
                <w:lang w:eastAsia="ru-RU"/>
              </w:rPr>
              <w:t xml:space="preserve">сяг </w:t>
            </w:r>
            <w:r w:rsidR="00D6735C">
              <w:rPr>
                <w:rFonts w:ascii="Times New Roman" w:eastAsia="Times New Roman" w:hAnsi="Times New Roman" w:cs="Times New Roman"/>
                <w:lang w:eastAsia="ru-RU"/>
              </w:rPr>
              <w:t>постачання товару: 27 000</w:t>
            </w:r>
            <w:r w:rsidR="00085CF5">
              <w:rPr>
                <w:rFonts w:ascii="Times New Roman" w:eastAsia="Times New Roman" w:hAnsi="Times New Roman" w:cs="Times New Roman"/>
                <w:lang w:eastAsia="ru-RU"/>
              </w:rPr>
              <w:t xml:space="preserve"> шт</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w:t>
            </w:r>
            <w:r w:rsidRPr="00E045B2">
              <w:rPr>
                <w:rFonts w:ascii="Times New Roman" w:eastAsia="Times New Roman" w:hAnsi="Times New Roman" w:cs="Times New Roman"/>
              </w:rPr>
              <w:lastRenderedPageBreak/>
              <w:t>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w:t>
            </w:r>
            <w:r w:rsidRPr="006126EA">
              <w:rPr>
                <w:rFonts w:ascii="Times New Roman" w:eastAsia="Times New Roman" w:hAnsi="Times New Roman" w:cs="Times New Roman"/>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w:t>
            </w:r>
            <w:r w:rsidR="00305323">
              <w:rPr>
                <w:rFonts w:ascii="Times New Roman" w:eastAsia="Times New Roman" w:hAnsi="Times New Roman" w:cs="Times New Roman"/>
              </w:rPr>
              <w:lastRenderedPageBreak/>
              <w:t>процедури закупівлі та/або переможця, визначених пунктом 47 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5C73142E"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B720B1">
              <w:rPr>
                <w:rFonts w:ascii="Times New Roman" w:eastAsia="Times New Roman" w:hAnsi="Times New Roman" w:cs="Times New Roman"/>
                <w:b/>
                <w:lang w:val="ru-RU" w:eastAsia="ru-RU"/>
              </w:rPr>
              <w:t>16</w:t>
            </w:r>
            <w:r w:rsidR="00214EBA">
              <w:rPr>
                <w:rFonts w:ascii="Times New Roman" w:eastAsia="Times New Roman" w:hAnsi="Times New Roman" w:cs="Times New Roman"/>
                <w:b/>
                <w:lang w:val="ru-RU" w:eastAsia="ru-RU"/>
              </w:rPr>
              <w:t>.01.2024</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w:t>
            </w:r>
            <w:r w:rsidRPr="00E75DA2">
              <w:rPr>
                <w:rFonts w:ascii="Times New Roman" w:eastAsia="Times New Roman" w:hAnsi="Times New Roman" w:cs="Times New Roman"/>
                <w:color w:val="000000"/>
                <w:lang w:eastAsia="uk-UA"/>
              </w:rPr>
              <w:lastRenderedPageBreak/>
              <w:t>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4C3A6E">
              <w:rPr>
                <w:rFonts w:ascii="Times New Roman" w:eastAsia="Times New Roman" w:hAnsi="Times New Roman" w:cs="Times New Roman"/>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w:t>
            </w:r>
            <w:r w:rsidRPr="004C3A6E">
              <w:rPr>
                <w:rFonts w:ascii="Times New Roman" w:eastAsia="Times New Roman" w:hAnsi="Times New Roman" w:cs="Times New Roman"/>
                <w:highlight w:val="white"/>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E09E63F"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w:t>
            </w:r>
            <w:r w:rsidRPr="0050688D">
              <w:rPr>
                <w:rFonts w:ascii="Times New Roman" w:eastAsia="Times New Roman" w:hAnsi="Times New Roman" w:cs="Times New Roman"/>
              </w:rPr>
              <w:lastRenderedPageBreak/>
              <w:t>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6992D24D"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D27195">
        <w:rPr>
          <w:rFonts w:ascii="Times New Roman" w:eastAsia="Arial" w:hAnsi="Times New Roman" w:cs="Times New Roman"/>
          <w:color w:val="000000"/>
          <w:lang w:eastAsia="ru-RU"/>
        </w:rPr>
        <w:t>3 до тендерної документації на 1</w:t>
      </w:r>
      <w:r>
        <w:rPr>
          <w:rFonts w:ascii="Times New Roman" w:eastAsia="Arial" w:hAnsi="Times New Roman" w:cs="Times New Roman"/>
          <w:color w:val="000000"/>
          <w:lang w:eastAsia="ru-RU"/>
        </w:rPr>
        <w:t xml:space="preserve"> арк.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арк.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8B80" w14:textId="77777777" w:rsidR="00E66E1C" w:rsidRDefault="00E66E1C">
      <w:pPr>
        <w:spacing w:after="0" w:line="240" w:lineRule="auto"/>
      </w:pPr>
      <w:r>
        <w:separator/>
      </w:r>
    </w:p>
  </w:endnote>
  <w:endnote w:type="continuationSeparator" w:id="0">
    <w:p w14:paraId="014C3F42" w14:textId="77777777" w:rsidR="00E66E1C" w:rsidRDefault="00E6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3152F2" w:rsidRDefault="003152F2"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3152F2" w:rsidRDefault="003152F2"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42B25F24" w:rsidR="003152F2" w:rsidRPr="00EF7335" w:rsidRDefault="003152F2"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316773">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3152F2" w:rsidRPr="00EF7335" w:rsidRDefault="003152F2"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BDF9" w14:textId="77777777" w:rsidR="00E66E1C" w:rsidRDefault="00E66E1C">
      <w:pPr>
        <w:spacing w:after="0" w:line="240" w:lineRule="auto"/>
      </w:pPr>
      <w:r>
        <w:separator/>
      </w:r>
    </w:p>
  </w:footnote>
  <w:footnote w:type="continuationSeparator" w:id="0">
    <w:p w14:paraId="67FE5273" w14:textId="77777777" w:rsidR="00E66E1C" w:rsidRDefault="00E6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5BD"/>
    <w:rsid w:val="003102E9"/>
    <w:rsid w:val="00313447"/>
    <w:rsid w:val="003152F2"/>
    <w:rsid w:val="00315360"/>
    <w:rsid w:val="00315C2A"/>
    <w:rsid w:val="00316773"/>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1EB2"/>
    <w:rsid w:val="006C2361"/>
    <w:rsid w:val="006C2624"/>
    <w:rsid w:val="006D01B6"/>
    <w:rsid w:val="006D11E3"/>
    <w:rsid w:val="006D4D55"/>
    <w:rsid w:val="006E08B6"/>
    <w:rsid w:val="006E2457"/>
    <w:rsid w:val="006F092A"/>
    <w:rsid w:val="00700008"/>
    <w:rsid w:val="00704663"/>
    <w:rsid w:val="007236FC"/>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46748"/>
    <w:rsid w:val="00B46AAC"/>
    <w:rsid w:val="00B5014A"/>
    <w:rsid w:val="00B52623"/>
    <w:rsid w:val="00B6272D"/>
    <w:rsid w:val="00B67A54"/>
    <w:rsid w:val="00B705B3"/>
    <w:rsid w:val="00B720B1"/>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104F6"/>
    <w:rsid w:val="00E16551"/>
    <w:rsid w:val="00E231DB"/>
    <w:rsid w:val="00E3249A"/>
    <w:rsid w:val="00E3459D"/>
    <w:rsid w:val="00E34896"/>
    <w:rsid w:val="00E41958"/>
    <w:rsid w:val="00E43A6B"/>
    <w:rsid w:val="00E45097"/>
    <w:rsid w:val="00E506FB"/>
    <w:rsid w:val="00E564FD"/>
    <w:rsid w:val="00E6208C"/>
    <w:rsid w:val="00E647CC"/>
    <w:rsid w:val="00E66E1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1022-3B88-4C33-92C2-2D6EE605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18</Pages>
  <Words>34138</Words>
  <Characters>19460</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196</cp:revision>
  <cp:lastPrinted>2024-01-08T13:03:00Z</cp:lastPrinted>
  <dcterms:created xsi:type="dcterms:W3CDTF">2022-10-26T11:56:00Z</dcterms:created>
  <dcterms:modified xsi:type="dcterms:W3CDTF">2024-01-08T13:08:00Z</dcterms:modified>
</cp:coreProperties>
</file>