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156E" w14:textId="77777777" w:rsidR="00862B3F" w:rsidRPr="002B1E9A" w:rsidRDefault="00500CEB" w:rsidP="00500CEB">
      <w:pPr>
        <w:tabs>
          <w:tab w:val="left" w:pos="2385"/>
        </w:tabs>
        <w:spacing w:after="0" w:line="240" w:lineRule="auto"/>
        <w:ind w:firstLine="567"/>
        <w:jc w:val="right"/>
        <w:rPr>
          <w:rFonts w:ascii="Times New Roman" w:hAnsi="Times New Roman" w:cs="Times New Roman"/>
          <w:b/>
          <w:bCs/>
          <w:sz w:val="24"/>
          <w:szCs w:val="24"/>
        </w:rPr>
      </w:pPr>
      <w:r w:rsidRPr="002B1E9A">
        <w:rPr>
          <w:rFonts w:ascii="Times New Roman" w:hAnsi="Times New Roman" w:cs="Times New Roman"/>
          <w:b/>
          <w:bCs/>
          <w:sz w:val="24"/>
          <w:szCs w:val="24"/>
        </w:rPr>
        <w:t>Додаток №</w:t>
      </w:r>
      <w:r w:rsidR="00462C1B" w:rsidRPr="002B1E9A">
        <w:rPr>
          <w:rFonts w:ascii="Times New Roman" w:hAnsi="Times New Roman" w:cs="Times New Roman"/>
          <w:b/>
          <w:bCs/>
          <w:sz w:val="24"/>
          <w:szCs w:val="24"/>
        </w:rPr>
        <w:t>2</w:t>
      </w:r>
      <w:r w:rsidR="00862B3F" w:rsidRPr="002B1E9A">
        <w:rPr>
          <w:rFonts w:ascii="Times New Roman" w:hAnsi="Times New Roman" w:cs="Times New Roman"/>
          <w:b/>
          <w:bCs/>
          <w:sz w:val="24"/>
          <w:szCs w:val="24"/>
        </w:rPr>
        <w:t xml:space="preserve"> </w:t>
      </w:r>
    </w:p>
    <w:p w14:paraId="01C74A77" w14:textId="424E3500" w:rsidR="00537E80" w:rsidRPr="002B1E9A" w:rsidRDefault="00862B3F" w:rsidP="00862B3F">
      <w:pPr>
        <w:tabs>
          <w:tab w:val="left" w:pos="2385"/>
        </w:tabs>
        <w:spacing w:after="0" w:line="240" w:lineRule="auto"/>
        <w:ind w:firstLine="567"/>
        <w:jc w:val="right"/>
        <w:rPr>
          <w:rFonts w:ascii="Times New Roman" w:hAnsi="Times New Roman" w:cs="Times New Roman"/>
          <w:b/>
          <w:bCs/>
          <w:sz w:val="24"/>
          <w:szCs w:val="24"/>
        </w:rPr>
      </w:pPr>
      <w:r w:rsidRPr="002B1E9A">
        <w:rPr>
          <w:rFonts w:ascii="Times New Roman" w:hAnsi="Times New Roman" w:cs="Times New Roman"/>
          <w:b/>
          <w:bCs/>
          <w:sz w:val="24"/>
          <w:szCs w:val="24"/>
        </w:rPr>
        <w:t>до тендерної документації</w:t>
      </w:r>
    </w:p>
    <w:p w14:paraId="4D5412BF" w14:textId="77777777" w:rsidR="00862B3F" w:rsidRPr="002B1E9A" w:rsidRDefault="00862B3F" w:rsidP="00862B3F">
      <w:pPr>
        <w:tabs>
          <w:tab w:val="left" w:pos="2385"/>
        </w:tabs>
        <w:spacing w:after="0" w:line="240" w:lineRule="auto"/>
        <w:ind w:firstLine="567"/>
        <w:jc w:val="right"/>
        <w:rPr>
          <w:rFonts w:ascii="Times New Roman" w:hAnsi="Times New Roman" w:cs="Times New Roman"/>
          <w:b/>
          <w:bCs/>
          <w:sz w:val="24"/>
          <w:szCs w:val="24"/>
        </w:rPr>
      </w:pPr>
    </w:p>
    <w:p w14:paraId="55805BDF" w14:textId="77777777" w:rsidR="00537E80" w:rsidRPr="002B1E9A" w:rsidRDefault="00537E80" w:rsidP="00537E80">
      <w:pPr>
        <w:spacing w:after="0" w:line="240" w:lineRule="auto"/>
        <w:ind w:left="-900" w:right="-365"/>
        <w:jc w:val="center"/>
        <w:rPr>
          <w:rFonts w:ascii="Times New Roman" w:eastAsia="Times New Roman" w:hAnsi="Times New Roman" w:cs="Times New Roman"/>
          <w:b/>
          <w:noProof/>
          <w:sz w:val="24"/>
          <w:szCs w:val="24"/>
          <w:lang w:eastAsia="ru-RU"/>
        </w:rPr>
      </w:pPr>
      <w:r w:rsidRPr="002B1E9A">
        <w:rPr>
          <w:rFonts w:ascii="Times New Roman" w:eastAsia="Times New Roman" w:hAnsi="Times New Roman" w:cs="Times New Roman"/>
          <w:b/>
          <w:noProof/>
          <w:sz w:val="24"/>
          <w:szCs w:val="24"/>
          <w:lang w:eastAsia="ru-RU"/>
        </w:rPr>
        <w:t>ТЕХНІЧН</w:t>
      </w:r>
      <w:r w:rsidR="00626A08" w:rsidRPr="002B1E9A">
        <w:rPr>
          <w:rFonts w:ascii="Times New Roman" w:eastAsia="Times New Roman" w:hAnsi="Times New Roman" w:cs="Times New Roman"/>
          <w:b/>
          <w:noProof/>
          <w:sz w:val="24"/>
          <w:szCs w:val="24"/>
          <w:lang w:eastAsia="ru-RU"/>
        </w:rPr>
        <w:t>АСПЕЦИФІКАЦІЯ</w:t>
      </w:r>
    </w:p>
    <w:p w14:paraId="38514D09" w14:textId="69735537" w:rsidR="00B63D17" w:rsidRPr="002B1E9A" w:rsidRDefault="00B63D17" w:rsidP="00B63D17">
      <w:pPr>
        <w:spacing w:after="0" w:line="240" w:lineRule="auto"/>
        <w:ind w:firstLine="720"/>
        <w:contextualSpacing/>
        <w:jc w:val="both"/>
        <w:rPr>
          <w:rFonts w:ascii="Times New Roman" w:eastAsia="Times New Roman" w:hAnsi="Times New Roman"/>
          <w:i/>
          <w:iCs/>
          <w:sz w:val="24"/>
          <w:szCs w:val="24"/>
          <w:shd w:val="clear" w:color="auto" w:fill="FFFFFF"/>
          <w:lang w:eastAsia="ru-RU"/>
        </w:rPr>
      </w:pPr>
      <w:r w:rsidRPr="002B1E9A">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89915D2" w14:textId="53BDF661" w:rsidR="007A56F0" w:rsidRPr="002B1E9A" w:rsidRDefault="007A56F0" w:rsidP="00B63D17">
      <w:pPr>
        <w:spacing w:after="0" w:line="240" w:lineRule="auto"/>
        <w:ind w:firstLine="720"/>
        <w:contextualSpacing/>
        <w:jc w:val="both"/>
        <w:rPr>
          <w:rFonts w:ascii="Times New Roman" w:eastAsia="Times New Roman" w:hAnsi="Times New Roman"/>
          <w:i/>
          <w:iCs/>
          <w:sz w:val="24"/>
          <w:szCs w:val="24"/>
          <w:shd w:val="clear" w:color="auto" w:fill="FFFFFF"/>
          <w:lang w:eastAsia="ru-RU"/>
        </w:rPr>
      </w:pPr>
      <w:r w:rsidRPr="002B1E9A">
        <w:rPr>
          <w:rFonts w:ascii="Times New Roman" w:eastAsia="Times New Roman" w:hAnsi="Times New Roman"/>
          <w:i/>
          <w:iCs/>
          <w:sz w:val="24"/>
          <w:szCs w:val="24"/>
          <w:shd w:val="clear" w:color="auto" w:fill="FFFFFF"/>
          <w:lang w:eastAsia="ru-RU"/>
        </w:rPr>
        <w:t>Обґрунтування посилання на марку (</w:t>
      </w:r>
      <w:proofErr w:type="spellStart"/>
      <w:r w:rsidRPr="002B1E9A">
        <w:rPr>
          <w:rFonts w:ascii="Times New Roman" w:eastAsia="Times New Roman" w:hAnsi="Times New Roman"/>
          <w:i/>
          <w:iCs/>
          <w:sz w:val="24"/>
          <w:szCs w:val="24"/>
          <w:shd w:val="clear" w:color="auto" w:fill="FFFFFF"/>
          <w:lang w:eastAsia="ru-RU"/>
        </w:rPr>
        <w:t>ки</w:t>
      </w:r>
      <w:proofErr w:type="spellEnd"/>
      <w:r w:rsidRPr="002B1E9A">
        <w:rPr>
          <w:rFonts w:ascii="Times New Roman" w:eastAsia="Times New Roman" w:hAnsi="Times New Roman"/>
          <w:i/>
          <w:iCs/>
          <w:sz w:val="24"/>
          <w:szCs w:val="24"/>
          <w:shd w:val="clear" w:color="auto" w:fill="FFFFFF"/>
          <w:lang w:eastAsia="ru-RU"/>
        </w:rPr>
        <w:t>) конкретного (</w:t>
      </w:r>
      <w:proofErr w:type="spellStart"/>
      <w:r w:rsidRPr="002B1E9A">
        <w:rPr>
          <w:rFonts w:ascii="Times New Roman" w:eastAsia="Times New Roman" w:hAnsi="Times New Roman"/>
          <w:i/>
          <w:iCs/>
          <w:sz w:val="24"/>
          <w:szCs w:val="24"/>
          <w:shd w:val="clear" w:color="auto" w:fill="FFFFFF"/>
          <w:lang w:eastAsia="ru-RU"/>
        </w:rPr>
        <w:t>их</w:t>
      </w:r>
      <w:proofErr w:type="spellEnd"/>
      <w:r w:rsidRPr="002B1E9A">
        <w:rPr>
          <w:rFonts w:ascii="Times New Roman" w:eastAsia="Times New Roman" w:hAnsi="Times New Roman"/>
          <w:i/>
          <w:iCs/>
          <w:sz w:val="24"/>
          <w:szCs w:val="24"/>
          <w:shd w:val="clear" w:color="auto" w:fill="FFFFFF"/>
          <w:lang w:eastAsia="ru-RU"/>
        </w:rPr>
        <w:t>) товарів або виробника (</w:t>
      </w:r>
      <w:proofErr w:type="spellStart"/>
      <w:r w:rsidRPr="002B1E9A">
        <w:rPr>
          <w:rFonts w:ascii="Times New Roman" w:eastAsia="Times New Roman" w:hAnsi="Times New Roman"/>
          <w:i/>
          <w:iCs/>
          <w:sz w:val="24"/>
          <w:szCs w:val="24"/>
          <w:shd w:val="clear" w:color="auto" w:fill="FFFFFF"/>
          <w:lang w:eastAsia="ru-RU"/>
        </w:rPr>
        <w:t>ків</w:t>
      </w:r>
      <w:proofErr w:type="spellEnd"/>
      <w:r w:rsidRPr="002B1E9A">
        <w:rPr>
          <w:rFonts w:ascii="Times New Roman" w:eastAsia="Times New Roman" w:hAnsi="Times New Roman"/>
          <w:i/>
          <w:iCs/>
          <w:sz w:val="24"/>
          <w:szCs w:val="24"/>
          <w:shd w:val="clear" w:color="auto" w:fill="FFFFFF"/>
          <w:lang w:eastAsia="ru-RU"/>
        </w:rPr>
        <w:t>) – таке посилання є необхідним, оскільки за основними характеристиками такий товар/робота/послуга оптимально відповідає потребам замовника, разом з тим Замовником не встановлено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p>
    <w:p w14:paraId="220526A4" w14:textId="77777777" w:rsidR="00B63D17" w:rsidRPr="002B1E9A" w:rsidRDefault="00B63D17" w:rsidP="00537E80">
      <w:pPr>
        <w:spacing w:after="0" w:line="240" w:lineRule="auto"/>
        <w:ind w:left="-900" w:right="-365"/>
        <w:jc w:val="center"/>
        <w:rPr>
          <w:rFonts w:ascii="Times New Roman" w:eastAsia="Times New Roman" w:hAnsi="Times New Roman" w:cs="Times New Roman"/>
          <w:b/>
          <w:noProof/>
          <w:sz w:val="24"/>
          <w:szCs w:val="24"/>
          <w:lang w:eastAsia="ru-RU"/>
        </w:rPr>
      </w:pPr>
    </w:p>
    <w:p w14:paraId="0AB0F34E" w14:textId="77777777" w:rsidR="0060138C" w:rsidRPr="002B1E9A" w:rsidRDefault="0060138C" w:rsidP="0060138C">
      <w:pPr>
        <w:contextualSpacing/>
        <w:jc w:val="center"/>
        <w:rPr>
          <w:rFonts w:ascii="Times New Roman" w:hAnsi="Times New Roman"/>
          <w:b/>
          <w:bCs/>
          <w:i/>
          <w:iCs/>
          <w:sz w:val="24"/>
          <w:szCs w:val="24"/>
        </w:rPr>
      </w:pPr>
      <w:r w:rsidRPr="002B1E9A">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B1E9A">
        <w:rPr>
          <w:rFonts w:ascii="Times New Roman" w:hAnsi="Times New Roman"/>
          <w:b/>
          <w:bCs/>
          <w:i/>
          <w:iCs/>
          <w:sz w:val="24"/>
          <w:szCs w:val="24"/>
        </w:rPr>
        <w:t xml:space="preserve"> </w:t>
      </w:r>
    </w:p>
    <w:p w14:paraId="35771293" w14:textId="77777777" w:rsidR="00DE0C24" w:rsidRDefault="00DE0C24" w:rsidP="00841D4C">
      <w:pPr>
        <w:spacing w:after="0" w:line="240" w:lineRule="auto"/>
        <w:ind w:left="709"/>
        <w:jc w:val="center"/>
        <w:rPr>
          <w:rFonts w:ascii="Times New Roman" w:hAnsi="Times New Roman" w:cs="Times New Roman"/>
          <w:b/>
          <w:bCs/>
          <w:sz w:val="24"/>
          <w:szCs w:val="24"/>
          <w:lang w:eastAsia="ru-RU"/>
        </w:rPr>
      </w:pPr>
    </w:p>
    <w:p w14:paraId="14C22FC1" w14:textId="77777777" w:rsidR="00DE0C24" w:rsidRPr="00B8181E" w:rsidRDefault="00DE0C24" w:rsidP="00DE0C24">
      <w:pPr>
        <w:shd w:val="clear" w:color="auto" w:fill="FFFFFF"/>
        <w:ind w:right="1"/>
        <w:jc w:val="center"/>
        <w:rPr>
          <w:rFonts w:ascii="Times New Roman" w:eastAsia="Times New Roman" w:hAnsi="Times New Roman" w:cs="Times New Roman"/>
          <w:b/>
          <w:sz w:val="24"/>
          <w:szCs w:val="24"/>
        </w:rPr>
      </w:pPr>
      <w:r w:rsidRPr="00B8181E">
        <w:rPr>
          <w:rFonts w:ascii="Times New Roman" w:eastAsia="Times New Roman" w:hAnsi="Times New Roman" w:cs="Times New Roman"/>
          <w:b/>
          <w:bCs/>
          <w:sz w:val="24"/>
          <w:szCs w:val="24"/>
        </w:rPr>
        <w:t xml:space="preserve">Технічні (якісні) вимоги до товару: </w:t>
      </w:r>
      <w:r w:rsidRPr="00B8181E">
        <w:rPr>
          <w:rFonts w:ascii="Times New Roman" w:eastAsia="Times New Roman" w:hAnsi="Times New Roman" w:cs="Times New Roman"/>
          <w:b/>
          <w:sz w:val="24"/>
          <w:szCs w:val="24"/>
        </w:rPr>
        <w:t>Молоко (Код ДК 021:2015: 15510000-6 Молоко та вершки)</w:t>
      </w:r>
    </w:p>
    <w:p w14:paraId="78AEAB9E" w14:textId="77777777" w:rsidR="00DE0C24" w:rsidRPr="00B8181E" w:rsidRDefault="00DE0C24" w:rsidP="00DE0C24">
      <w:pPr>
        <w:suppressAutoHyphens/>
        <w:jc w:val="both"/>
        <w:rPr>
          <w:rFonts w:ascii="Times New Roman" w:hAnsi="Times New Roman" w:cs="Times New Roman"/>
          <w:kern w:val="2"/>
          <w:sz w:val="24"/>
          <w:szCs w:val="24"/>
          <w:lang w:eastAsia="ar-SA" w:bidi="hi-IN"/>
        </w:rPr>
      </w:pPr>
      <w:r w:rsidRPr="00B8181E">
        <w:rPr>
          <w:rFonts w:ascii="Times New Roman" w:hAnsi="Times New Roman" w:cs="Times New Roman"/>
          <w:kern w:val="2"/>
          <w:sz w:val="24"/>
          <w:szCs w:val="24"/>
          <w:lang w:eastAsia="ar-SA" w:bidi="hi-IN"/>
        </w:rPr>
        <w:tab/>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2170"/>
        <w:gridCol w:w="1447"/>
        <w:gridCol w:w="3656"/>
        <w:gridCol w:w="993"/>
        <w:gridCol w:w="1275"/>
      </w:tblGrid>
      <w:tr w:rsidR="00DE0C24" w:rsidRPr="00B8181E" w14:paraId="5668951D" w14:textId="77777777" w:rsidTr="005231C8">
        <w:trPr>
          <w:trHeight w:val="972"/>
        </w:trPr>
        <w:tc>
          <w:tcPr>
            <w:tcW w:w="458" w:type="dxa"/>
            <w:vAlign w:val="center"/>
          </w:tcPr>
          <w:p w14:paraId="5FFAC88E" w14:textId="77777777" w:rsidR="00DE0C24" w:rsidRPr="00B8181E" w:rsidRDefault="00DE0C24" w:rsidP="005231C8">
            <w:pPr>
              <w:suppressAutoHyphens/>
              <w:jc w:val="center"/>
              <w:rPr>
                <w:rFonts w:ascii="Times New Roman" w:hAnsi="Times New Roman" w:cs="Times New Roman"/>
                <w:b/>
                <w:kern w:val="2"/>
                <w:sz w:val="24"/>
                <w:szCs w:val="24"/>
                <w:lang w:eastAsia="hi-IN" w:bidi="hi-IN"/>
              </w:rPr>
            </w:pPr>
            <w:r w:rsidRPr="00B8181E">
              <w:rPr>
                <w:rFonts w:ascii="Times New Roman" w:hAnsi="Times New Roman" w:cs="Times New Roman"/>
                <w:b/>
                <w:kern w:val="2"/>
                <w:sz w:val="24"/>
                <w:szCs w:val="24"/>
                <w:lang w:eastAsia="hi-IN" w:bidi="hi-IN"/>
              </w:rPr>
              <w:t>№</w:t>
            </w:r>
          </w:p>
        </w:tc>
        <w:tc>
          <w:tcPr>
            <w:tcW w:w="2170" w:type="dxa"/>
            <w:vAlign w:val="center"/>
          </w:tcPr>
          <w:p w14:paraId="32ECC8AD" w14:textId="77777777" w:rsidR="00DE0C24" w:rsidRPr="00B8181E" w:rsidRDefault="00DE0C24" w:rsidP="005231C8">
            <w:pPr>
              <w:suppressAutoHyphens/>
              <w:jc w:val="center"/>
              <w:rPr>
                <w:rFonts w:ascii="Times New Roman" w:hAnsi="Times New Roman" w:cs="Times New Roman"/>
                <w:b/>
                <w:kern w:val="2"/>
                <w:sz w:val="24"/>
                <w:szCs w:val="24"/>
                <w:lang w:eastAsia="hi-IN" w:bidi="hi-IN"/>
              </w:rPr>
            </w:pPr>
            <w:r w:rsidRPr="00B8181E">
              <w:rPr>
                <w:rFonts w:ascii="Times New Roman" w:hAnsi="Times New Roman" w:cs="Times New Roman"/>
                <w:b/>
                <w:kern w:val="2"/>
                <w:sz w:val="24"/>
                <w:szCs w:val="24"/>
                <w:lang w:eastAsia="hi-IN" w:bidi="hi-IN"/>
              </w:rPr>
              <w:t>Найменування</w:t>
            </w:r>
          </w:p>
          <w:p w14:paraId="40DB6D90" w14:textId="77777777" w:rsidR="00DE0C24" w:rsidRPr="00B8181E" w:rsidRDefault="00DE0C24" w:rsidP="005231C8">
            <w:pPr>
              <w:suppressAutoHyphens/>
              <w:jc w:val="center"/>
              <w:rPr>
                <w:rFonts w:ascii="Times New Roman" w:hAnsi="Times New Roman" w:cs="Times New Roman"/>
                <w:b/>
                <w:kern w:val="2"/>
                <w:sz w:val="24"/>
                <w:szCs w:val="24"/>
                <w:lang w:eastAsia="hi-IN" w:bidi="hi-IN"/>
              </w:rPr>
            </w:pPr>
            <w:r w:rsidRPr="00B8181E">
              <w:rPr>
                <w:rFonts w:ascii="Times New Roman" w:hAnsi="Times New Roman" w:cs="Times New Roman"/>
                <w:b/>
                <w:kern w:val="2"/>
                <w:sz w:val="24"/>
                <w:szCs w:val="24"/>
                <w:lang w:eastAsia="hi-IN" w:bidi="hi-IN"/>
              </w:rPr>
              <w:t>предмета закупівлі</w:t>
            </w:r>
          </w:p>
        </w:tc>
        <w:tc>
          <w:tcPr>
            <w:tcW w:w="5103" w:type="dxa"/>
            <w:gridSpan w:val="2"/>
            <w:vAlign w:val="center"/>
          </w:tcPr>
          <w:p w14:paraId="3D07098D" w14:textId="77777777" w:rsidR="00DE0C24" w:rsidRPr="00B8181E" w:rsidRDefault="00DE0C24" w:rsidP="005231C8">
            <w:pPr>
              <w:suppressAutoHyphens/>
              <w:jc w:val="center"/>
              <w:rPr>
                <w:rFonts w:ascii="Times New Roman" w:hAnsi="Times New Roman" w:cs="Times New Roman"/>
                <w:b/>
                <w:kern w:val="2"/>
                <w:sz w:val="24"/>
                <w:szCs w:val="24"/>
                <w:lang w:eastAsia="hi-IN" w:bidi="hi-IN"/>
              </w:rPr>
            </w:pPr>
          </w:p>
          <w:p w14:paraId="520630B3" w14:textId="77777777" w:rsidR="00DE0C24" w:rsidRPr="00B8181E" w:rsidRDefault="00DE0C24" w:rsidP="005231C8">
            <w:pPr>
              <w:suppressAutoHyphens/>
              <w:jc w:val="center"/>
              <w:rPr>
                <w:rFonts w:ascii="Times New Roman" w:hAnsi="Times New Roman" w:cs="Times New Roman"/>
                <w:b/>
                <w:kern w:val="2"/>
                <w:sz w:val="24"/>
                <w:szCs w:val="24"/>
                <w:lang w:eastAsia="hi-IN" w:bidi="hi-IN"/>
              </w:rPr>
            </w:pPr>
            <w:r w:rsidRPr="00B8181E">
              <w:rPr>
                <w:rFonts w:ascii="Times New Roman" w:hAnsi="Times New Roman" w:cs="Times New Roman"/>
                <w:b/>
                <w:kern w:val="2"/>
                <w:sz w:val="24"/>
                <w:szCs w:val="24"/>
                <w:lang w:eastAsia="hi-IN" w:bidi="hi-IN"/>
              </w:rPr>
              <w:t>Оцінка якості</w:t>
            </w:r>
          </w:p>
        </w:tc>
        <w:tc>
          <w:tcPr>
            <w:tcW w:w="993" w:type="dxa"/>
            <w:vAlign w:val="center"/>
          </w:tcPr>
          <w:p w14:paraId="528731FF" w14:textId="77777777" w:rsidR="00DE0C24" w:rsidRPr="00B8181E" w:rsidRDefault="00DE0C24" w:rsidP="005231C8">
            <w:pPr>
              <w:suppressAutoHyphens/>
              <w:jc w:val="center"/>
              <w:rPr>
                <w:rFonts w:ascii="Times New Roman" w:hAnsi="Times New Roman" w:cs="Times New Roman"/>
                <w:b/>
                <w:kern w:val="2"/>
                <w:sz w:val="24"/>
                <w:szCs w:val="24"/>
                <w:lang w:eastAsia="hi-IN" w:bidi="hi-IN"/>
              </w:rPr>
            </w:pPr>
            <w:r w:rsidRPr="00B8181E">
              <w:rPr>
                <w:rFonts w:ascii="Times New Roman" w:hAnsi="Times New Roman" w:cs="Times New Roman"/>
                <w:b/>
                <w:kern w:val="2"/>
                <w:sz w:val="24"/>
                <w:szCs w:val="24"/>
                <w:lang w:eastAsia="hi-IN" w:bidi="hi-IN"/>
              </w:rPr>
              <w:t>Один.</w:t>
            </w:r>
          </w:p>
          <w:p w14:paraId="2795DDDA" w14:textId="77777777" w:rsidR="00DE0C24" w:rsidRPr="00B8181E" w:rsidRDefault="00DE0C24" w:rsidP="005231C8">
            <w:pPr>
              <w:suppressAutoHyphens/>
              <w:jc w:val="center"/>
              <w:rPr>
                <w:rFonts w:ascii="Times New Roman" w:hAnsi="Times New Roman" w:cs="Times New Roman"/>
                <w:b/>
                <w:kern w:val="2"/>
                <w:sz w:val="24"/>
                <w:szCs w:val="24"/>
                <w:lang w:eastAsia="hi-IN" w:bidi="hi-IN"/>
              </w:rPr>
            </w:pPr>
            <w:r w:rsidRPr="00B8181E">
              <w:rPr>
                <w:rFonts w:ascii="Times New Roman" w:hAnsi="Times New Roman" w:cs="Times New Roman"/>
                <w:b/>
                <w:kern w:val="2"/>
                <w:sz w:val="24"/>
                <w:szCs w:val="24"/>
                <w:lang w:eastAsia="hi-IN" w:bidi="hi-IN"/>
              </w:rPr>
              <w:t>виміру</w:t>
            </w:r>
          </w:p>
        </w:tc>
        <w:tc>
          <w:tcPr>
            <w:tcW w:w="1275" w:type="dxa"/>
            <w:vAlign w:val="center"/>
          </w:tcPr>
          <w:p w14:paraId="3B6CC259" w14:textId="77777777" w:rsidR="00DE0C24" w:rsidRPr="00B8181E" w:rsidRDefault="00DE0C24" w:rsidP="005231C8">
            <w:pPr>
              <w:suppressAutoHyphens/>
              <w:jc w:val="center"/>
              <w:rPr>
                <w:rFonts w:ascii="Times New Roman" w:hAnsi="Times New Roman" w:cs="Times New Roman"/>
                <w:b/>
                <w:kern w:val="2"/>
                <w:sz w:val="24"/>
                <w:szCs w:val="24"/>
                <w:lang w:eastAsia="hi-IN" w:bidi="hi-IN"/>
              </w:rPr>
            </w:pPr>
            <w:r w:rsidRPr="00B8181E">
              <w:rPr>
                <w:rFonts w:ascii="Times New Roman" w:hAnsi="Times New Roman" w:cs="Times New Roman"/>
                <w:b/>
                <w:kern w:val="2"/>
                <w:sz w:val="24"/>
                <w:szCs w:val="24"/>
                <w:lang w:eastAsia="hi-IN" w:bidi="hi-IN"/>
              </w:rPr>
              <w:t>Кількість</w:t>
            </w:r>
          </w:p>
        </w:tc>
      </w:tr>
      <w:tr w:rsidR="00DE0C24" w:rsidRPr="00B8181E" w14:paraId="57649B46" w14:textId="77777777" w:rsidTr="005231C8">
        <w:trPr>
          <w:trHeight w:val="272"/>
        </w:trPr>
        <w:tc>
          <w:tcPr>
            <w:tcW w:w="458" w:type="dxa"/>
            <w:vMerge w:val="restart"/>
            <w:shd w:val="clear" w:color="auto" w:fill="auto"/>
          </w:tcPr>
          <w:p w14:paraId="052D7000"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r w:rsidRPr="00B8181E">
              <w:rPr>
                <w:rFonts w:ascii="Times New Roman" w:hAnsi="Times New Roman" w:cs="Times New Roman"/>
                <w:kern w:val="2"/>
                <w:sz w:val="24"/>
                <w:szCs w:val="24"/>
                <w:lang w:eastAsia="hi-IN" w:bidi="hi-IN"/>
              </w:rPr>
              <w:t>1.</w:t>
            </w:r>
          </w:p>
        </w:tc>
        <w:tc>
          <w:tcPr>
            <w:tcW w:w="2170" w:type="dxa"/>
            <w:vMerge w:val="restart"/>
            <w:tcBorders>
              <w:bottom w:val="nil"/>
            </w:tcBorders>
          </w:tcPr>
          <w:p w14:paraId="3B2E6A25" w14:textId="77777777" w:rsidR="00DE0C24" w:rsidRPr="00B8181E" w:rsidRDefault="00DE0C24" w:rsidP="005231C8">
            <w:pPr>
              <w:suppressAutoHyphens/>
              <w:rPr>
                <w:rFonts w:ascii="Times New Roman" w:hAnsi="Times New Roman" w:cs="Times New Roman"/>
                <w:b/>
                <w:bCs/>
                <w:kern w:val="2"/>
                <w:sz w:val="24"/>
                <w:szCs w:val="24"/>
                <w:lang w:eastAsia="hi-IN" w:bidi="hi-IN"/>
              </w:rPr>
            </w:pPr>
            <w:r w:rsidRPr="00B8181E">
              <w:rPr>
                <w:rFonts w:ascii="Times New Roman" w:hAnsi="Times New Roman" w:cs="Times New Roman"/>
                <w:sz w:val="24"/>
                <w:szCs w:val="24"/>
              </w:rPr>
              <w:t xml:space="preserve">Молоко коров’яче пастеризоване  (жирність 2,5 %) </w:t>
            </w:r>
          </w:p>
        </w:tc>
        <w:tc>
          <w:tcPr>
            <w:tcW w:w="1447" w:type="dxa"/>
          </w:tcPr>
          <w:p w14:paraId="7EAAE57B" w14:textId="77777777" w:rsidR="00DE0C24" w:rsidRPr="00B8181E" w:rsidRDefault="00DE0C24" w:rsidP="005231C8">
            <w:pPr>
              <w:suppressAutoHyphens/>
              <w:jc w:val="center"/>
              <w:rPr>
                <w:rFonts w:ascii="Times New Roman" w:hAnsi="Times New Roman" w:cs="Times New Roman"/>
                <w:kern w:val="2"/>
                <w:sz w:val="24"/>
                <w:szCs w:val="24"/>
                <w:lang w:eastAsia="hi-IN" w:bidi="hi-IN"/>
              </w:rPr>
            </w:pPr>
            <w:r w:rsidRPr="00B8181E">
              <w:rPr>
                <w:rFonts w:ascii="Times New Roman" w:hAnsi="Times New Roman" w:cs="Times New Roman"/>
                <w:kern w:val="2"/>
                <w:sz w:val="24"/>
                <w:szCs w:val="24"/>
                <w:lang w:eastAsia="hi-IN" w:bidi="hi-IN"/>
              </w:rPr>
              <w:t>Вид і назва компоненту</w:t>
            </w:r>
          </w:p>
        </w:tc>
        <w:tc>
          <w:tcPr>
            <w:tcW w:w="3656" w:type="dxa"/>
          </w:tcPr>
          <w:p w14:paraId="7D3289EE" w14:textId="77777777" w:rsidR="00DE0C24" w:rsidRPr="00B8181E" w:rsidRDefault="00DE0C24" w:rsidP="005231C8">
            <w:pPr>
              <w:spacing w:line="240" w:lineRule="auto"/>
              <w:jc w:val="center"/>
              <w:rPr>
                <w:rFonts w:ascii="Times New Roman" w:hAnsi="Times New Roman" w:cs="Times New Roman"/>
                <w:kern w:val="2"/>
                <w:sz w:val="24"/>
                <w:szCs w:val="24"/>
                <w:lang w:eastAsia="hi-IN" w:bidi="hi-IN"/>
              </w:rPr>
            </w:pPr>
            <w:r w:rsidRPr="00B8181E">
              <w:rPr>
                <w:rFonts w:ascii="Times New Roman" w:hAnsi="Times New Roman" w:cs="Times New Roman"/>
                <w:sz w:val="24"/>
                <w:szCs w:val="24"/>
              </w:rPr>
              <w:t>Молоко коров’яче пастеризоване</w:t>
            </w:r>
          </w:p>
        </w:tc>
        <w:tc>
          <w:tcPr>
            <w:tcW w:w="993" w:type="dxa"/>
            <w:vMerge w:val="restart"/>
          </w:tcPr>
          <w:p w14:paraId="16E25F2F" w14:textId="77777777" w:rsidR="00DE0C24" w:rsidRPr="00B8181E" w:rsidRDefault="00DE0C24" w:rsidP="005231C8">
            <w:pPr>
              <w:suppressAutoHyphens/>
              <w:jc w:val="center"/>
              <w:rPr>
                <w:rFonts w:ascii="Times New Roman" w:hAnsi="Times New Roman" w:cs="Times New Roman"/>
                <w:b/>
                <w:kern w:val="2"/>
                <w:sz w:val="24"/>
                <w:szCs w:val="24"/>
                <w:lang w:eastAsia="hi-IN" w:bidi="hi-IN"/>
              </w:rPr>
            </w:pPr>
            <w:r w:rsidRPr="00B8181E">
              <w:rPr>
                <w:rFonts w:ascii="Times New Roman" w:hAnsi="Times New Roman" w:cs="Times New Roman"/>
                <w:sz w:val="24"/>
                <w:szCs w:val="24"/>
              </w:rPr>
              <w:t>л</w:t>
            </w:r>
          </w:p>
        </w:tc>
        <w:tc>
          <w:tcPr>
            <w:tcW w:w="1275" w:type="dxa"/>
            <w:vMerge w:val="restart"/>
          </w:tcPr>
          <w:p w14:paraId="056A3AF6" w14:textId="53C723F9" w:rsidR="00DE0C24" w:rsidRPr="00B8181E" w:rsidRDefault="007A32BA" w:rsidP="007A32BA">
            <w:pPr>
              <w:suppressAutoHyphens/>
              <w:rPr>
                <w:rFonts w:ascii="Times New Roman" w:hAnsi="Times New Roman" w:cs="Times New Roman"/>
                <w:b/>
                <w:kern w:val="2"/>
                <w:sz w:val="24"/>
                <w:szCs w:val="24"/>
                <w:lang w:eastAsia="hi-IN" w:bidi="hi-IN"/>
              </w:rPr>
            </w:pPr>
            <w:r>
              <w:rPr>
                <w:rFonts w:ascii="Times New Roman" w:hAnsi="Times New Roman" w:cs="Times New Roman"/>
                <w:sz w:val="24"/>
                <w:szCs w:val="24"/>
              </w:rPr>
              <w:t>8000</w:t>
            </w:r>
          </w:p>
        </w:tc>
      </w:tr>
      <w:tr w:rsidR="00DE0C24" w:rsidRPr="00B8181E" w14:paraId="57929FE9" w14:textId="77777777" w:rsidTr="005231C8">
        <w:trPr>
          <w:trHeight w:val="3229"/>
        </w:trPr>
        <w:tc>
          <w:tcPr>
            <w:tcW w:w="458" w:type="dxa"/>
            <w:vMerge/>
            <w:shd w:val="clear" w:color="auto" w:fill="auto"/>
          </w:tcPr>
          <w:p w14:paraId="49A5B734"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Borders>
              <w:bottom w:val="nil"/>
            </w:tcBorders>
          </w:tcPr>
          <w:p w14:paraId="75721982" w14:textId="77777777" w:rsidR="00DE0C24" w:rsidRPr="00B8181E" w:rsidRDefault="00DE0C24" w:rsidP="005231C8">
            <w:pPr>
              <w:suppressAutoHyphens/>
              <w:rPr>
                <w:rFonts w:ascii="Times New Roman" w:hAnsi="Times New Roman" w:cs="Times New Roman"/>
                <w:sz w:val="24"/>
                <w:szCs w:val="24"/>
              </w:rPr>
            </w:pPr>
          </w:p>
        </w:tc>
        <w:tc>
          <w:tcPr>
            <w:tcW w:w="1447" w:type="dxa"/>
            <w:tcBorders>
              <w:bottom w:val="single" w:sz="4" w:space="0" w:color="auto"/>
            </w:tcBorders>
          </w:tcPr>
          <w:p w14:paraId="35498557"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r w:rsidRPr="00B8181E">
              <w:rPr>
                <w:rStyle w:val="2105pt"/>
                <w:rFonts w:eastAsia="Calibri"/>
                <w:sz w:val="24"/>
                <w:szCs w:val="24"/>
              </w:rPr>
              <w:t>Законодавчі та нормативні документи, які встановлюють вимоги до виробництва та безпечності компоненту</w:t>
            </w:r>
            <w:r w:rsidRPr="00B8181E">
              <w:rPr>
                <w:rFonts w:ascii="Times New Roman" w:hAnsi="Times New Roman" w:cs="Times New Roman"/>
                <w:kern w:val="2"/>
                <w:sz w:val="24"/>
                <w:szCs w:val="24"/>
                <w:lang w:eastAsia="hi-IN" w:bidi="hi-IN"/>
              </w:rPr>
              <w:t xml:space="preserve"> </w:t>
            </w:r>
          </w:p>
          <w:p w14:paraId="608D30D9"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3656" w:type="dxa"/>
            <w:tcBorders>
              <w:bottom w:val="single" w:sz="4" w:space="0" w:color="auto"/>
            </w:tcBorders>
          </w:tcPr>
          <w:p w14:paraId="2397D14C" w14:textId="77777777" w:rsidR="00DE0C24" w:rsidRPr="00B8181E" w:rsidRDefault="00DE0C24" w:rsidP="005231C8">
            <w:pPr>
              <w:suppressAutoHyphens/>
              <w:jc w:val="both"/>
              <w:rPr>
                <w:rStyle w:val="2105pt"/>
                <w:rFonts w:eastAsia="Calibri"/>
                <w:sz w:val="24"/>
                <w:szCs w:val="24"/>
              </w:rPr>
            </w:pPr>
            <w:r w:rsidRPr="00B8181E">
              <w:rPr>
                <w:rStyle w:val="2105pt"/>
                <w:rFonts w:eastAsia="Calibri"/>
                <w:sz w:val="24"/>
                <w:szCs w:val="24"/>
              </w:rPr>
              <w:t xml:space="preserve">ДСТУ 2661:2010 «Молоко. Технічні умови», Допустимі рівні вмісту радіонуклідів 137 </w:t>
            </w:r>
            <w:r w:rsidRPr="00B8181E">
              <w:rPr>
                <w:rStyle w:val="2105pt"/>
                <w:rFonts w:eastAsia="Calibri"/>
                <w:sz w:val="24"/>
                <w:szCs w:val="24"/>
                <w:lang w:val="en-US" w:bidi="en-US"/>
              </w:rPr>
              <w:t>Cs</w:t>
            </w:r>
            <w:r w:rsidRPr="00B8181E">
              <w:rPr>
                <w:rStyle w:val="2105pt"/>
                <w:rFonts w:eastAsia="Calibri"/>
                <w:sz w:val="24"/>
                <w:szCs w:val="24"/>
                <w:lang w:bidi="en-US"/>
              </w:rPr>
              <w:t xml:space="preserve"> </w:t>
            </w:r>
            <w:r w:rsidRPr="00B8181E">
              <w:rPr>
                <w:rStyle w:val="2105pt"/>
                <w:rFonts w:eastAsia="Calibri"/>
                <w:sz w:val="24"/>
                <w:szCs w:val="24"/>
              </w:rPr>
              <w:t xml:space="preserve">та </w:t>
            </w:r>
            <w:r w:rsidRPr="00B8181E">
              <w:rPr>
                <w:rStyle w:val="2105pt"/>
                <w:rFonts w:eastAsia="Calibri"/>
                <w:sz w:val="24"/>
                <w:szCs w:val="24"/>
                <w:lang w:bidi="en-US"/>
              </w:rPr>
              <w:t>90</w:t>
            </w:r>
            <w:r w:rsidRPr="00B8181E">
              <w:rPr>
                <w:rStyle w:val="2105pt"/>
                <w:rFonts w:eastAsia="Calibri"/>
                <w:sz w:val="24"/>
                <w:szCs w:val="24"/>
                <w:lang w:val="en-US" w:bidi="en-US"/>
              </w:rPr>
              <w:t>Sr</w:t>
            </w:r>
            <w:r w:rsidRPr="00B8181E">
              <w:rPr>
                <w:rStyle w:val="2105pt"/>
                <w:rFonts w:eastAsia="Calibri"/>
                <w:sz w:val="24"/>
                <w:szCs w:val="24"/>
                <w:lang w:bidi="en-US"/>
              </w:rPr>
              <w:t xml:space="preserve"> </w:t>
            </w:r>
            <w:r w:rsidRPr="00B8181E">
              <w:rPr>
                <w:rStyle w:val="2105pt"/>
                <w:rFonts w:eastAsia="Calibri"/>
                <w:sz w:val="24"/>
                <w:szCs w:val="24"/>
              </w:rPr>
              <w:t xml:space="preserve">у продуктах харчування та питній воді; </w:t>
            </w:r>
            <w:proofErr w:type="spellStart"/>
            <w:r w:rsidRPr="00B8181E">
              <w:rPr>
                <w:rStyle w:val="2105pt"/>
                <w:rFonts w:eastAsia="Calibri"/>
                <w:sz w:val="24"/>
                <w:szCs w:val="24"/>
              </w:rPr>
              <w:t>ДСанПІН</w:t>
            </w:r>
            <w:proofErr w:type="spellEnd"/>
            <w:r w:rsidRPr="00B8181E">
              <w:rPr>
                <w:rStyle w:val="2105pt"/>
                <w:rFonts w:eastAsia="Calibri"/>
                <w:sz w:val="24"/>
                <w:szCs w:val="24"/>
              </w:rPr>
              <w:t xml:space="preserve"> 8.8.1.2.3.4 - 000- 2001, Наказ №368 «Про затвердження Державних гігієнічних правил і норм "Регламент максимальних рівнів окремих забруднюючих речовин у харчових продуктах".</w:t>
            </w:r>
          </w:p>
          <w:p w14:paraId="124509A2" w14:textId="77777777" w:rsidR="00DE0C24" w:rsidRPr="00B8181E" w:rsidRDefault="00DE0C24" w:rsidP="005231C8">
            <w:pPr>
              <w:suppressAutoHyphens/>
              <w:jc w:val="both"/>
              <w:rPr>
                <w:rStyle w:val="2105pt"/>
                <w:rFonts w:eastAsia="Calibri"/>
                <w:sz w:val="24"/>
                <w:szCs w:val="24"/>
              </w:rPr>
            </w:pPr>
          </w:p>
          <w:p w14:paraId="7D8F4817"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993" w:type="dxa"/>
            <w:vMerge/>
          </w:tcPr>
          <w:p w14:paraId="7CCD9C0E"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Pr>
          <w:p w14:paraId="76E8AF1B"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445A00E2" w14:textId="77777777" w:rsidTr="005231C8">
        <w:trPr>
          <w:trHeight w:val="1252"/>
        </w:trPr>
        <w:tc>
          <w:tcPr>
            <w:tcW w:w="458" w:type="dxa"/>
            <w:vMerge/>
            <w:shd w:val="clear" w:color="auto" w:fill="auto"/>
          </w:tcPr>
          <w:p w14:paraId="2F0D8649"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Borders>
              <w:bottom w:val="single" w:sz="4" w:space="0" w:color="auto"/>
            </w:tcBorders>
          </w:tcPr>
          <w:p w14:paraId="34E573CA" w14:textId="77777777" w:rsidR="00DE0C24" w:rsidRPr="00B8181E" w:rsidRDefault="00DE0C24" w:rsidP="005231C8">
            <w:pPr>
              <w:suppressAutoHyphens/>
              <w:rPr>
                <w:rFonts w:ascii="Times New Roman" w:hAnsi="Times New Roman" w:cs="Times New Roman"/>
                <w:sz w:val="24"/>
                <w:szCs w:val="24"/>
              </w:rPr>
            </w:pPr>
          </w:p>
        </w:tc>
        <w:tc>
          <w:tcPr>
            <w:tcW w:w="1447" w:type="dxa"/>
            <w:tcBorders>
              <w:bottom w:val="single" w:sz="4" w:space="0" w:color="auto"/>
            </w:tcBorders>
          </w:tcPr>
          <w:p w14:paraId="6197DAFB" w14:textId="77777777" w:rsidR="00DE0C24" w:rsidRPr="00B8181E" w:rsidRDefault="00DE0C24" w:rsidP="005231C8">
            <w:pPr>
              <w:suppressAutoHyphens/>
              <w:jc w:val="both"/>
              <w:rPr>
                <w:rStyle w:val="2105pt"/>
                <w:rFonts w:eastAsia="Calibri"/>
                <w:sz w:val="24"/>
                <w:szCs w:val="24"/>
              </w:rPr>
            </w:pPr>
            <w:r w:rsidRPr="00B8181E">
              <w:rPr>
                <w:rStyle w:val="2105pt"/>
                <w:rFonts w:eastAsia="Calibri"/>
                <w:sz w:val="24"/>
                <w:szCs w:val="24"/>
              </w:rPr>
              <w:t>Біологічні характеристики</w:t>
            </w:r>
          </w:p>
        </w:tc>
        <w:tc>
          <w:tcPr>
            <w:tcW w:w="3656" w:type="dxa"/>
            <w:tcBorders>
              <w:bottom w:val="single" w:sz="4" w:space="0" w:color="auto"/>
            </w:tcBorders>
            <w:vAlign w:val="bottom"/>
          </w:tcPr>
          <w:p w14:paraId="19B8BDC8" w14:textId="77777777" w:rsidR="00DE0C24" w:rsidRPr="00B8181E" w:rsidRDefault="00DE0C24" w:rsidP="005231C8">
            <w:pPr>
              <w:suppressAutoHyphens/>
              <w:jc w:val="both"/>
              <w:rPr>
                <w:rStyle w:val="2105pt"/>
                <w:rFonts w:eastAsia="Calibri"/>
                <w:sz w:val="24"/>
                <w:szCs w:val="24"/>
              </w:rPr>
            </w:pPr>
            <w:r w:rsidRPr="00B8181E">
              <w:rPr>
                <w:rStyle w:val="2105pt"/>
                <w:rFonts w:eastAsia="Calibri"/>
                <w:sz w:val="24"/>
                <w:szCs w:val="24"/>
              </w:rPr>
              <w:t xml:space="preserve">Кількість </w:t>
            </w:r>
            <w:proofErr w:type="spellStart"/>
            <w:r w:rsidRPr="00B8181E">
              <w:rPr>
                <w:rStyle w:val="2105pt"/>
                <w:rFonts w:eastAsia="Calibri"/>
                <w:sz w:val="24"/>
                <w:szCs w:val="24"/>
              </w:rPr>
              <w:t>МАФАнМ</w:t>
            </w:r>
            <w:proofErr w:type="spellEnd"/>
            <w:r w:rsidRPr="00B8181E">
              <w:rPr>
                <w:rStyle w:val="2105pt"/>
                <w:rFonts w:eastAsia="Calibri"/>
                <w:sz w:val="24"/>
                <w:szCs w:val="24"/>
              </w:rPr>
              <w:t xml:space="preserve"> 0 КУО, в 1 г продукту, не більше ніж 1-Ю</w:t>
            </w:r>
            <w:r w:rsidRPr="00B8181E">
              <w:rPr>
                <w:rStyle w:val="2105pt"/>
                <w:rFonts w:eastAsia="Calibri"/>
                <w:sz w:val="24"/>
                <w:szCs w:val="24"/>
                <w:vertAlign w:val="superscript"/>
              </w:rPr>
              <w:t>5</w:t>
            </w:r>
            <w:r w:rsidRPr="00B8181E">
              <w:rPr>
                <w:rStyle w:val="2105pt"/>
                <w:rFonts w:eastAsia="Calibri"/>
                <w:sz w:val="24"/>
                <w:szCs w:val="24"/>
              </w:rPr>
              <w:t xml:space="preserve">, БГКП в 0,1 г- не дозволено, </w:t>
            </w:r>
            <w:r w:rsidRPr="00B8181E">
              <w:rPr>
                <w:rStyle w:val="2105pt"/>
                <w:rFonts w:eastAsia="Calibri"/>
                <w:sz w:val="24"/>
                <w:szCs w:val="24"/>
                <w:lang w:val="en-US" w:bidi="en-US"/>
              </w:rPr>
              <w:t>Staphylococcus</w:t>
            </w:r>
            <w:r w:rsidRPr="00B8181E">
              <w:rPr>
                <w:rStyle w:val="2105pt"/>
                <w:rFonts w:eastAsia="Calibri"/>
                <w:sz w:val="24"/>
                <w:szCs w:val="24"/>
                <w:lang w:bidi="en-US"/>
              </w:rPr>
              <w:t xml:space="preserve"> </w:t>
            </w:r>
            <w:r w:rsidRPr="00B8181E">
              <w:rPr>
                <w:rStyle w:val="2105pt"/>
                <w:rFonts w:eastAsia="Calibri"/>
                <w:sz w:val="24"/>
                <w:szCs w:val="24"/>
                <w:lang w:val="en-US" w:bidi="en-US"/>
              </w:rPr>
              <w:t>aureus</w:t>
            </w:r>
            <w:r w:rsidRPr="00B8181E">
              <w:rPr>
                <w:rStyle w:val="2105pt"/>
                <w:rFonts w:eastAsia="Calibri"/>
                <w:sz w:val="24"/>
                <w:szCs w:val="24"/>
                <w:lang w:bidi="en-US"/>
              </w:rPr>
              <w:t xml:space="preserve"> </w:t>
            </w:r>
            <w:r w:rsidRPr="00B8181E">
              <w:rPr>
                <w:rStyle w:val="2105pt"/>
                <w:rFonts w:eastAsia="Calibri"/>
                <w:sz w:val="24"/>
                <w:szCs w:val="24"/>
              </w:rPr>
              <w:t xml:space="preserve">в 1 г - не дозволено, патогенні м/о в </w:t>
            </w:r>
            <w:proofErr w:type="spellStart"/>
            <w:r w:rsidRPr="00B8181E">
              <w:rPr>
                <w:rStyle w:val="2105pt"/>
                <w:rFonts w:eastAsia="Calibri"/>
                <w:sz w:val="24"/>
                <w:szCs w:val="24"/>
              </w:rPr>
              <w:t>т.ч</w:t>
            </w:r>
            <w:proofErr w:type="spellEnd"/>
            <w:r w:rsidRPr="00B8181E">
              <w:rPr>
                <w:rStyle w:val="2105pt"/>
                <w:rFonts w:eastAsia="Calibri"/>
                <w:sz w:val="24"/>
                <w:szCs w:val="24"/>
              </w:rPr>
              <w:t xml:space="preserve"> сальмонела у 25 г продукту - не </w:t>
            </w:r>
            <w:r w:rsidRPr="00B8181E">
              <w:rPr>
                <w:rStyle w:val="2105pt"/>
                <w:rFonts w:eastAsia="Calibri"/>
                <w:sz w:val="24"/>
                <w:szCs w:val="24"/>
              </w:rPr>
              <w:lastRenderedPageBreak/>
              <w:t xml:space="preserve">дозволено, </w:t>
            </w:r>
            <w:r w:rsidRPr="00B8181E">
              <w:rPr>
                <w:rStyle w:val="2105pt"/>
                <w:rFonts w:eastAsia="Calibri"/>
                <w:sz w:val="24"/>
                <w:szCs w:val="24"/>
                <w:lang w:val="en-US" w:bidi="en-US"/>
              </w:rPr>
              <w:t>Listeria</w:t>
            </w:r>
            <w:r w:rsidRPr="00B8181E">
              <w:rPr>
                <w:rStyle w:val="2105pt"/>
                <w:rFonts w:eastAsia="Calibri"/>
                <w:sz w:val="24"/>
                <w:szCs w:val="24"/>
                <w:lang w:bidi="en-US"/>
              </w:rPr>
              <w:t xml:space="preserve"> </w:t>
            </w:r>
            <w:r w:rsidRPr="00B8181E">
              <w:rPr>
                <w:rStyle w:val="2105pt"/>
                <w:rFonts w:eastAsia="Calibri"/>
                <w:sz w:val="24"/>
                <w:szCs w:val="24"/>
                <w:lang w:val="en-US" w:bidi="en-US"/>
              </w:rPr>
              <w:t>monocytogenes</w:t>
            </w:r>
            <w:r w:rsidRPr="00B8181E">
              <w:rPr>
                <w:rStyle w:val="2105pt"/>
                <w:rFonts w:eastAsia="Calibri"/>
                <w:sz w:val="24"/>
                <w:szCs w:val="24"/>
                <w:lang w:bidi="en-US"/>
              </w:rPr>
              <w:t xml:space="preserve"> </w:t>
            </w:r>
            <w:r w:rsidRPr="00B8181E">
              <w:rPr>
                <w:rStyle w:val="2105pt"/>
                <w:rFonts w:eastAsia="Calibri"/>
                <w:sz w:val="24"/>
                <w:szCs w:val="24"/>
              </w:rPr>
              <w:t>у 25 г продукту - не дозволено.</w:t>
            </w:r>
          </w:p>
        </w:tc>
        <w:tc>
          <w:tcPr>
            <w:tcW w:w="993" w:type="dxa"/>
            <w:vMerge/>
          </w:tcPr>
          <w:p w14:paraId="5F555907"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Pr>
          <w:p w14:paraId="6845444C" w14:textId="77777777" w:rsidR="00DE0C24" w:rsidRPr="00B8181E" w:rsidRDefault="00DE0C24" w:rsidP="005231C8">
            <w:pPr>
              <w:suppressAutoHyphens/>
              <w:jc w:val="both"/>
              <w:rPr>
                <w:rFonts w:ascii="Times New Roman" w:hAnsi="Times New Roman" w:cs="Times New Roman"/>
                <w:sz w:val="24"/>
                <w:szCs w:val="24"/>
              </w:rPr>
            </w:pPr>
          </w:p>
        </w:tc>
      </w:tr>
      <w:tr w:rsidR="00DE0C24" w:rsidRPr="00013744" w14:paraId="303708E4" w14:textId="77777777" w:rsidTr="005231C8">
        <w:trPr>
          <w:trHeight w:val="1997"/>
        </w:trPr>
        <w:tc>
          <w:tcPr>
            <w:tcW w:w="458" w:type="dxa"/>
            <w:vMerge/>
            <w:shd w:val="clear" w:color="auto" w:fill="auto"/>
          </w:tcPr>
          <w:p w14:paraId="4BE0BFCF"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Borders>
              <w:top w:val="single" w:sz="4" w:space="0" w:color="auto"/>
              <w:bottom w:val="single" w:sz="4" w:space="0" w:color="auto"/>
            </w:tcBorders>
          </w:tcPr>
          <w:p w14:paraId="082B3CA6" w14:textId="77777777" w:rsidR="00DE0C24" w:rsidRPr="00B8181E" w:rsidRDefault="00DE0C24" w:rsidP="005231C8">
            <w:pPr>
              <w:suppressAutoHyphens/>
              <w:rPr>
                <w:rFonts w:ascii="Times New Roman" w:hAnsi="Times New Roman" w:cs="Times New Roman"/>
                <w:sz w:val="24"/>
                <w:szCs w:val="24"/>
              </w:rPr>
            </w:pPr>
          </w:p>
        </w:tc>
        <w:tc>
          <w:tcPr>
            <w:tcW w:w="1447" w:type="dxa"/>
            <w:vMerge w:val="restart"/>
            <w:tcBorders>
              <w:top w:val="single" w:sz="4" w:space="0" w:color="auto"/>
            </w:tcBorders>
          </w:tcPr>
          <w:p w14:paraId="7DC2549D" w14:textId="77777777" w:rsidR="00DE0C24" w:rsidRPr="00B8181E" w:rsidRDefault="00DE0C24" w:rsidP="005231C8">
            <w:pPr>
              <w:suppressAutoHyphens/>
              <w:jc w:val="both"/>
              <w:rPr>
                <w:rStyle w:val="2105pt"/>
                <w:rFonts w:eastAsia="Calibri"/>
                <w:sz w:val="24"/>
                <w:szCs w:val="24"/>
              </w:rPr>
            </w:pPr>
            <w:r w:rsidRPr="00B8181E">
              <w:rPr>
                <w:rStyle w:val="2105pt"/>
                <w:rFonts w:eastAsia="Calibri"/>
                <w:sz w:val="24"/>
                <w:szCs w:val="24"/>
              </w:rPr>
              <w:t>Хімічні характеристики</w:t>
            </w:r>
          </w:p>
        </w:tc>
        <w:tc>
          <w:tcPr>
            <w:tcW w:w="3656" w:type="dxa"/>
            <w:vMerge w:val="restart"/>
            <w:tcBorders>
              <w:top w:val="single" w:sz="4" w:space="0" w:color="auto"/>
            </w:tcBorders>
            <w:vAlign w:val="bottom"/>
          </w:tcPr>
          <w:p w14:paraId="2335009A" w14:textId="77777777" w:rsidR="00DE0C24" w:rsidRPr="00B8181E" w:rsidRDefault="00DE0C24" w:rsidP="005231C8">
            <w:pPr>
              <w:suppressAutoHyphens/>
              <w:jc w:val="both"/>
              <w:rPr>
                <w:rStyle w:val="2105pt"/>
                <w:rFonts w:eastAsia="Calibri"/>
                <w:sz w:val="24"/>
                <w:szCs w:val="24"/>
              </w:rPr>
            </w:pPr>
            <w:r w:rsidRPr="00B8181E">
              <w:rPr>
                <w:rStyle w:val="2105pt"/>
                <w:rFonts w:eastAsia="Calibri"/>
                <w:sz w:val="24"/>
                <w:szCs w:val="24"/>
              </w:rPr>
              <w:t xml:space="preserve">Вміст токсичних елементів, мг/кг, не більше ніж: ртуті - 0,005; миш’яку - 0,05; свинцю - 0,03; кадмію - 0,03, мідь - 1,0, цинк - 5,0. </w:t>
            </w:r>
            <w:proofErr w:type="spellStart"/>
            <w:r w:rsidRPr="00B8181E">
              <w:rPr>
                <w:rStyle w:val="2105pt"/>
                <w:rFonts w:eastAsia="Calibri"/>
                <w:sz w:val="24"/>
                <w:szCs w:val="24"/>
              </w:rPr>
              <w:t>Мікотоксини</w:t>
            </w:r>
            <w:proofErr w:type="spellEnd"/>
            <w:r w:rsidRPr="00B8181E">
              <w:rPr>
                <w:rStyle w:val="2105pt"/>
                <w:rFonts w:eastAsia="Calibri"/>
                <w:sz w:val="24"/>
                <w:szCs w:val="24"/>
              </w:rPr>
              <w:t xml:space="preserve">: </w:t>
            </w:r>
            <w:proofErr w:type="spellStart"/>
            <w:r w:rsidRPr="00B8181E">
              <w:rPr>
                <w:rStyle w:val="2105pt"/>
                <w:rFonts w:eastAsia="Calibri"/>
                <w:sz w:val="24"/>
                <w:szCs w:val="24"/>
              </w:rPr>
              <w:t>Афлатоксин</w:t>
            </w:r>
            <w:proofErr w:type="spellEnd"/>
            <w:r w:rsidRPr="00B8181E">
              <w:rPr>
                <w:rStyle w:val="2105pt"/>
                <w:rFonts w:eastAsia="Calibri"/>
                <w:sz w:val="24"/>
                <w:szCs w:val="24"/>
              </w:rPr>
              <w:t xml:space="preserve"> В1 - не дозволено, МІ - 0,0005 мг/кг. Масова частка залишкової кількості пестицидів, мг/кг, не більше: ГХЦГ гама - ізомеру - 0,05; ДДТ і його метаболіти - 0,05;</w:t>
            </w:r>
          </w:p>
        </w:tc>
        <w:tc>
          <w:tcPr>
            <w:tcW w:w="993" w:type="dxa"/>
            <w:vMerge/>
          </w:tcPr>
          <w:p w14:paraId="4364C745"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Pr>
          <w:p w14:paraId="0C3D8C2B" w14:textId="77777777" w:rsidR="00DE0C24" w:rsidRPr="00B8181E" w:rsidRDefault="00DE0C24" w:rsidP="005231C8">
            <w:pPr>
              <w:suppressAutoHyphens/>
              <w:jc w:val="both"/>
              <w:rPr>
                <w:rFonts w:ascii="Times New Roman" w:hAnsi="Times New Roman" w:cs="Times New Roman"/>
                <w:sz w:val="24"/>
                <w:szCs w:val="24"/>
              </w:rPr>
            </w:pPr>
          </w:p>
        </w:tc>
      </w:tr>
      <w:tr w:rsidR="00DE0C24" w:rsidRPr="00013744" w14:paraId="53A83B75" w14:textId="77777777" w:rsidTr="005231C8">
        <w:trPr>
          <w:trHeight w:val="149"/>
        </w:trPr>
        <w:tc>
          <w:tcPr>
            <w:tcW w:w="458" w:type="dxa"/>
            <w:vMerge/>
            <w:tcBorders>
              <w:bottom w:val="single" w:sz="4" w:space="0" w:color="auto"/>
            </w:tcBorders>
            <w:shd w:val="clear" w:color="auto" w:fill="auto"/>
          </w:tcPr>
          <w:p w14:paraId="4A5CE04E"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tcBorders>
              <w:top w:val="single" w:sz="4" w:space="0" w:color="auto"/>
              <w:bottom w:val="single" w:sz="4" w:space="0" w:color="auto"/>
            </w:tcBorders>
          </w:tcPr>
          <w:p w14:paraId="6815E321" w14:textId="77777777" w:rsidR="00DE0C24" w:rsidRPr="00B8181E" w:rsidRDefault="00DE0C24" w:rsidP="005231C8">
            <w:pPr>
              <w:suppressAutoHyphens/>
              <w:rPr>
                <w:rFonts w:ascii="Times New Roman" w:hAnsi="Times New Roman" w:cs="Times New Roman"/>
                <w:sz w:val="24"/>
                <w:szCs w:val="24"/>
              </w:rPr>
            </w:pPr>
          </w:p>
        </w:tc>
        <w:tc>
          <w:tcPr>
            <w:tcW w:w="1447" w:type="dxa"/>
            <w:vMerge/>
            <w:tcBorders>
              <w:bottom w:val="single" w:sz="4" w:space="0" w:color="auto"/>
            </w:tcBorders>
          </w:tcPr>
          <w:p w14:paraId="2AB75E2E" w14:textId="77777777" w:rsidR="00DE0C24" w:rsidRPr="00B8181E" w:rsidRDefault="00DE0C24" w:rsidP="005231C8">
            <w:pPr>
              <w:suppressAutoHyphens/>
              <w:jc w:val="both"/>
              <w:rPr>
                <w:rStyle w:val="2105pt"/>
                <w:rFonts w:eastAsia="Calibri"/>
                <w:sz w:val="24"/>
                <w:szCs w:val="24"/>
              </w:rPr>
            </w:pPr>
          </w:p>
        </w:tc>
        <w:tc>
          <w:tcPr>
            <w:tcW w:w="3656" w:type="dxa"/>
            <w:vMerge/>
            <w:tcBorders>
              <w:bottom w:val="single" w:sz="4" w:space="0" w:color="auto"/>
            </w:tcBorders>
            <w:vAlign w:val="bottom"/>
          </w:tcPr>
          <w:p w14:paraId="57A4C17B" w14:textId="77777777" w:rsidR="00DE0C24" w:rsidRPr="00B8181E" w:rsidRDefault="00DE0C24" w:rsidP="005231C8">
            <w:pPr>
              <w:suppressAutoHyphens/>
              <w:jc w:val="both"/>
              <w:rPr>
                <w:rStyle w:val="2105pt"/>
                <w:rFonts w:eastAsia="Calibri"/>
                <w:sz w:val="24"/>
                <w:szCs w:val="24"/>
              </w:rPr>
            </w:pPr>
          </w:p>
        </w:tc>
        <w:tc>
          <w:tcPr>
            <w:tcW w:w="993" w:type="dxa"/>
            <w:vMerge/>
            <w:tcBorders>
              <w:bottom w:val="single" w:sz="4" w:space="0" w:color="auto"/>
            </w:tcBorders>
          </w:tcPr>
          <w:p w14:paraId="669F836B"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Borders>
              <w:bottom w:val="single" w:sz="4" w:space="0" w:color="auto"/>
            </w:tcBorders>
          </w:tcPr>
          <w:p w14:paraId="108183C1"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3651D788" w14:textId="77777777" w:rsidTr="005231C8">
        <w:trPr>
          <w:trHeight w:val="2382"/>
        </w:trPr>
        <w:tc>
          <w:tcPr>
            <w:tcW w:w="458" w:type="dxa"/>
            <w:tcBorders>
              <w:top w:val="single" w:sz="4" w:space="0" w:color="auto"/>
              <w:bottom w:val="nil"/>
            </w:tcBorders>
            <w:shd w:val="clear" w:color="auto" w:fill="auto"/>
          </w:tcPr>
          <w:p w14:paraId="77FDE81E"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tcBorders>
              <w:top w:val="single" w:sz="4" w:space="0" w:color="auto"/>
              <w:bottom w:val="nil"/>
            </w:tcBorders>
          </w:tcPr>
          <w:p w14:paraId="62BEC753" w14:textId="77777777" w:rsidR="00DE0C24" w:rsidRPr="00B8181E" w:rsidRDefault="00DE0C24" w:rsidP="005231C8">
            <w:pPr>
              <w:suppressAutoHyphens/>
              <w:rPr>
                <w:rFonts w:ascii="Times New Roman" w:hAnsi="Times New Roman" w:cs="Times New Roman"/>
                <w:sz w:val="24"/>
                <w:szCs w:val="24"/>
              </w:rPr>
            </w:pPr>
          </w:p>
        </w:tc>
        <w:tc>
          <w:tcPr>
            <w:tcW w:w="1447" w:type="dxa"/>
            <w:tcBorders>
              <w:top w:val="single" w:sz="4" w:space="0" w:color="auto"/>
            </w:tcBorders>
          </w:tcPr>
          <w:p w14:paraId="4BF1A1E1" w14:textId="77777777" w:rsidR="00DE0C24" w:rsidRPr="00B8181E" w:rsidRDefault="00DE0C24" w:rsidP="005231C8">
            <w:pPr>
              <w:suppressAutoHyphens/>
              <w:jc w:val="both"/>
              <w:rPr>
                <w:rStyle w:val="2105pt"/>
                <w:rFonts w:eastAsia="Calibri"/>
                <w:sz w:val="24"/>
                <w:szCs w:val="24"/>
              </w:rPr>
            </w:pPr>
          </w:p>
        </w:tc>
        <w:tc>
          <w:tcPr>
            <w:tcW w:w="3656" w:type="dxa"/>
            <w:tcBorders>
              <w:top w:val="single" w:sz="4" w:space="0" w:color="auto"/>
            </w:tcBorders>
            <w:vAlign w:val="bottom"/>
          </w:tcPr>
          <w:p w14:paraId="0FDC0FB4" w14:textId="77777777" w:rsidR="00DE0C24" w:rsidRPr="00B8181E" w:rsidRDefault="00DE0C24" w:rsidP="005231C8">
            <w:pPr>
              <w:suppressAutoHyphens/>
              <w:jc w:val="both"/>
              <w:rPr>
                <w:rStyle w:val="2105pt"/>
                <w:rFonts w:eastAsia="Calibri"/>
                <w:sz w:val="24"/>
                <w:szCs w:val="24"/>
              </w:rPr>
            </w:pPr>
            <w:r w:rsidRPr="00B8181E">
              <w:rPr>
                <w:rStyle w:val="2105pt"/>
                <w:rFonts w:eastAsia="Calibri"/>
                <w:sz w:val="24"/>
                <w:szCs w:val="24"/>
              </w:rPr>
              <w:t xml:space="preserve"> </w:t>
            </w:r>
            <w:proofErr w:type="spellStart"/>
            <w:r w:rsidRPr="00B8181E">
              <w:rPr>
                <w:rStyle w:val="2105pt"/>
                <w:rFonts w:eastAsia="Calibri"/>
                <w:sz w:val="24"/>
                <w:szCs w:val="24"/>
              </w:rPr>
              <w:t>ртутьвмісні</w:t>
            </w:r>
            <w:proofErr w:type="spellEnd"/>
            <w:r w:rsidRPr="00B8181E">
              <w:rPr>
                <w:rStyle w:val="2105pt"/>
                <w:rFonts w:eastAsia="Calibri"/>
                <w:sz w:val="24"/>
                <w:szCs w:val="24"/>
              </w:rPr>
              <w:t xml:space="preserve"> пестициди - не допускаються; антибіотики (од/г, не більше): тетрациклінової групи - не допускаються (&lt;0,01), пеніцилін - не допускаються (&lt;0,01), стрептоміцин - не допускаються (&lt;0,5); вміст радіонуклідів, </w:t>
            </w:r>
            <w:proofErr w:type="spellStart"/>
            <w:r w:rsidRPr="00B8181E">
              <w:rPr>
                <w:rStyle w:val="2105pt"/>
                <w:rFonts w:eastAsia="Calibri"/>
                <w:sz w:val="24"/>
                <w:szCs w:val="24"/>
              </w:rPr>
              <w:t>Бк</w:t>
            </w:r>
            <w:proofErr w:type="spellEnd"/>
            <w:r w:rsidRPr="00B8181E">
              <w:rPr>
                <w:rStyle w:val="2105pt"/>
                <w:rFonts w:eastAsia="Calibri"/>
                <w:sz w:val="24"/>
                <w:szCs w:val="24"/>
              </w:rPr>
              <w:t>/кг, не більше: цезію 137- 100; стронцію 90 -20; без вмісту ГМО.</w:t>
            </w:r>
          </w:p>
        </w:tc>
        <w:tc>
          <w:tcPr>
            <w:tcW w:w="993" w:type="dxa"/>
            <w:tcBorders>
              <w:top w:val="single" w:sz="4" w:space="0" w:color="auto"/>
              <w:bottom w:val="nil"/>
            </w:tcBorders>
          </w:tcPr>
          <w:p w14:paraId="08533380" w14:textId="77777777" w:rsidR="00DE0C24" w:rsidRPr="00B8181E" w:rsidRDefault="00DE0C24" w:rsidP="005231C8">
            <w:pPr>
              <w:suppressAutoHyphens/>
              <w:jc w:val="both"/>
              <w:rPr>
                <w:rFonts w:ascii="Times New Roman" w:hAnsi="Times New Roman" w:cs="Times New Roman"/>
                <w:sz w:val="24"/>
                <w:szCs w:val="24"/>
              </w:rPr>
            </w:pPr>
          </w:p>
        </w:tc>
        <w:tc>
          <w:tcPr>
            <w:tcW w:w="1275" w:type="dxa"/>
            <w:tcBorders>
              <w:top w:val="single" w:sz="4" w:space="0" w:color="auto"/>
              <w:bottom w:val="nil"/>
            </w:tcBorders>
          </w:tcPr>
          <w:p w14:paraId="7AEB776F"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07F74766" w14:textId="77777777" w:rsidTr="005231C8">
        <w:trPr>
          <w:trHeight w:val="1145"/>
        </w:trPr>
        <w:tc>
          <w:tcPr>
            <w:tcW w:w="458" w:type="dxa"/>
            <w:vMerge w:val="restart"/>
            <w:tcBorders>
              <w:top w:val="nil"/>
            </w:tcBorders>
          </w:tcPr>
          <w:p w14:paraId="7CC66022"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val="restart"/>
            <w:tcBorders>
              <w:top w:val="nil"/>
            </w:tcBorders>
          </w:tcPr>
          <w:p w14:paraId="6162EF7C" w14:textId="77777777" w:rsidR="00DE0C24" w:rsidRPr="00B8181E" w:rsidRDefault="00DE0C24" w:rsidP="005231C8">
            <w:pPr>
              <w:suppressAutoHyphens/>
              <w:rPr>
                <w:rFonts w:ascii="Times New Roman" w:hAnsi="Times New Roman" w:cs="Times New Roman"/>
                <w:sz w:val="24"/>
                <w:szCs w:val="24"/>
              </w:rPr>
            </w:pPr>
          </w:p>
        </w:tc>
        <w:tc>
          <w:tcPr>
            <w:tcW w:w="1447" w:type="dxa"/>
          </w:tcPr>
          <w:p w14:paraId="2B8A610F"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Фізичні характеристики</w:t>
            </w:r>
          </w:p>
        </w:tc>
        <w:tc>
          <w:tcPr>
            <w:tcW w:w="3656" w:type="dxa"/>
            <w:vAlign w:val="bottom"/>
          </w:tcPr>
          <w:p w14:paraId="76BA3D56"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Масова частка жиру - від 1-3%, масова частка білка - не менше ніж 2,9%, кислотність титрована, не більше ніж 21°Г, густина , не менше ніж 1028 кг/м, фосфатаза - відсутня, Температура в товщі продукту не вище 4±2°С.</w:t>
            </w:r>
          </w:p>
        </w:tc>
        <w:tc>
          <w:tcPr>
            <w:tcW w:w="993" w:type="dxa"/>
            <w:vMerge w:val="restart"/>
            <w:tcBorders>
              <w:top w:val="nil"/>
              <w:bottom w:val="nil"/>
            </w:tcBorders>
          </w:tcPr>
          <w:p w14:paraId="61CFF19E"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val="restart"/>
            <w:tcBorders>
              <w:top w:val="nil"/>
            </w:tcBorders>
          </w:tcPr>
          <w:p w14:paraId="01753177"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5672522E" w14:textId="77777777" w:rsidTr="005231C8">
        <w:trPr>
          <w:trHeight w:val="1145"/>
        </w:trPr>
        <w:tc>
          <w:tcPr>
            <w:tcW w:w="458" w:type="dxa"/>
            <w:vMerge/>
          </w:tcPr>
          <w:p w14:paraId="347ACB21"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Pr>
          <w:p w14:paraId="65CF835F" w14:textId="77777777" w:rsidR="00DE0C24" w:rsidRPr="00B8181E" w:rsidRDefault="00DE0C24" w:rsidP="005231C8">
            <w:pPr>
              <w:suppressAutoHyphens/>
              <w:rPr>
                <w:rFonts w:ascii="Times New Roman" w:hAnsi="Times New Roman" w:cs="Times New Roman"/>
                <w:sz w:val="24"/>
                <w:szCs w:val="24"/>
              </w:rPr>
            </w:pPr>
          </w:p>
        </w:tc>
        <w:tc>
          <w:tcPr>
            <w:tcW w:w="1447" w:type="dxa"/>
          </w:tcPr>
          <w:p w14:paraId="64EFB58E"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Органолептичні показники</w:t>
            </w:r>
          </w:p>
        </w:tc>
        <w:tc>
          <w:tcPr>
            <w:tcW w:w="3656" w:type="dxa"/>
            <w:vAlign w:val="bottom"/>
          </w:tcPr>
          <w:p w14:paraId="5B14E93E"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Зовнішній вигляд: однорідна рідина без осаду, пластівців білка та грудочок жиру. Колір білий, рівномірний за всією масою. Запах і смак - чистий, без сторонніх присмаків та запахів, притаманний свіжому молоку, з легким присмаком пастеризації.</w:t>
            </w:r>
          </w:p>
        </w:tc>
        <w:tc>
          <w:tcPr>
            <w:tcW w:w="993" w:type="dxa"/>
            <w:vMerge/>
            <w:tcBorders>
              <w:bottom w:val="nil"/>
            </w:tcBorders>
          </w:tcPr>
          <w:p w14:paraId="4C44D580"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Pr>
          <w:p w14:paraId="07BF7183"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5CBB1B78" w14:textId="77777777" w:rsidTr="005231C8">
        <w:trPr>
          <w:trHeight w:val="1145"/>
        </w:trPr>
        <w:tc>
          <w:tcPr>
            <w:tcW w:w="458" w:type="dxa"/>
            <w:vMerge/>
          </w:tcPr>
          <w:p w14:paraId="7AC79343"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Pr>
          <w:p w14:paraId="55696866" w14:textId="77777777" w:rsidR="00DE0C24" w:rsidRPr="00B8181E" w:rsidRDefault="00DE0C24" w:rsidP="005231C8">
            <w:pPr>
              <w:suppressAutoHyphens/>
              <w:rPr>
                <w:rFonts w:ascii="Times New Roman" w:hAnsi="Times New Roman" w:cs="Times New Roman"/>
                <w:sz w:val="24"/>
                <w:szCs w:val="24"/>
              </w:rPr>
            </w:pPr>
          </w:p>
        </w:tc>
        <w:tc>
          <w:tcPr>
            <w:tcW w:w="1447" w:type="dxa"/>
            <w:vAlign w:val="bottom"/>
          </w:tcPr>
          <w:p w14:paraId="47D70305"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Походження</w:t>
            </w:r>
          </w:p>
        </w:tc>
        <w:tc>
          <w:tcPr>
            <w:tcW w:w="3656" w:type="dxa"/>
            <w:vAlign w:val="bottom"/>
          </w:tcPr>
          <w:p w14:paraId="1E9BBB39"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Тваринне.</w:t>
            </w:r>
          </w:p>
        </w:tc>
        <w:tc>
          <w:tcPr>
            <w:tcW w:w="993" w:type="dxa"/>
            <w:vMerge/>
            <w:tcBorders>
              <w:bottom w:val="nil"/>
            </w:tcBorders>
          </w:tcPr>
          <w:p w14:paraId="576A3C78"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Pr>
          <w:p w14:paraId="219E9B5E"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46363D9C" w14:textId="77777777" w:rsidTr="005231C8">
        <w:trPr>
          <w:trHeight w:val="1145"/>
        </w:trPr>
        <w:tc>
          <w:tcPr>
            <w:tcW w:w="458" w:type="dxa"/>
            <w:vMerge/>
          </w:tcPr>
          <w:p w14:paraId="1119BEE3"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Pr>
          <w:p w14:paraId="23BCBA59" w14:textId="77777777" w:rsidR="00DE0C24" w:rsidRPr="00B8181E" w:rsidRDefault="00DE0C24" w:rsidP="005231C8">
            <w:pPr>
              <w:suppressAutoHyphens/>
              <w:rPr>
                <w:rFonts w:ascii="Times New Roman" w:hAnsi="Times New Roman" w:cs="Times New Roman"/>
                <w:sz w:val="24"/>
                <w:szCs w:val="24"/>
              </w:rPr>
            </w:pPr>
          </w:p>
        </w:tc>
        <w:tc>
          <w:tcPr>
            <w:tcW w:w="1447" w:type="dxa"/>
            <w:vAlign w:val="bottom"/>
          </w:tcPr>
          <w:p w14:paraId="1A459E6F"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Спосіб виробництва</w:t>
            </w:r>
          </w:p>
        </w:tc>
        <w:tc>
          <w:tcPr>
            <w:tcW w:w="3656" w:type="dxa"/>
            <w:vAlign w:val="bottom"/>
          </w:tcPr>
          <w:p w14:paraId="7BDBC157"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Пастеризація коров’ячого молока, охолодження.</w:t>
            </w:r>
          </w:p>
        </w:tc>
        <w:tc>
          <w:tcPr>
            <w:tcW w:w="993" w:type="dxa"/>
            <w:vMerge/>
            <w:tcBorders>
              <w:bottom w:val="nil"/>
            </w:tcBorders>
          </w:tcPr>
          <w:p w14:paraId="38952F93"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Pr>
          <w:p w14:paraId="4E4EF5BD"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1E96A360" w14:textId="77777777" w:rsidTr="005231C8">
        <w:trPr>
          <w:trHeight w:val="1145"/>
        </w:trPr>
        <w:tc>
          <w:tcPr>
            <w:tcW w:w="458" w:type="dxa"/>
            <w:vMerge/>
          </w:tcPr>
          <w:p w14:paraId="29E65D5E"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Pr>
          <w:p w14:paraId="0598B4DF" w14:textId="77777777" w:rsidR="00DE0C24" w:rsidRPr="00B8181E" w:rsidRDefault="00DE0C24" w:rsidP="005231C8">
            <w:pPr>
              <w:suppressAutoHyphens/>
              <w:rPr>
                <w:rFonts w:ascii="Times New Roman" w:hAnsi="Times New Roman" w:cs="Times New Roman"/>
                <w:sz w:val="24"/>
                <w:szCs w:val="24"/>
              </w:rPr>
            </w:pPr>
          </w:p>
        </w:tc>
        <w:tc>
          <w:tcPr>
            <w:tcW w:w="1447" w:type="dxa"/>
            <w:vAlign w:val="bottom"/>
          </w:tcPr>
          <w:p w14:paraId="4E5F7AB2"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 xml:space="preserve">Склад </w:t>
            </w:r>
            <w:proofErr w:type="spellStart"/>
            <w:r w:rsidRPr="00B8181E">
              <w:rPr>
                <w:rStyle w:val="2105pt"/>
                <w:rFonts w:eastAsia="Calibri"/>
                <w:sz w:val="24"/>
                <w:szCs w:val="24"/>
              </w:rPr>
              <w:t>багатоскладникових</w:t>
            </w:r>
            <w:proofErr w:type="spellEnd"/>
            <w:r w:rsidRPr="00B8181E">
              <w:rPr>
                <w:rStyle w:val="2105pt"/>
                <w:rFonts w:eastAsia="Calibri"/>
                <w:sz w:val="24"/>
                <w:szCs w:val="24"/>
              </w:rPr>
              <w:t xml:space="preserve"> </w:t>
            </w:r>
            <w:proofErr w:type="spellStart"/>
            <w:r w:rsidRPr="00B8181E">
              <w:rPr>
                <w:rStyle w:val="2105pt"/>
                <w:rFonts w:eastAsia="Calibri"/>
                <w:sz w:val="24"/>
                <w:szCs w:val="24"/>
              </w:rPr>
              <w:t>інгрідієнтів</w:t>
            </w:r>
            <w:proofErr w:type="spellEnd"/>
            <w:r w:rsidRPr="00B8181E">
              <w:rPr>
                <w:rStyle w:val="2105pt"/>
                <w:rFonts w:eastAsia="Calibri"/>
                <w:sz w:val="24"/>
                <w:szCs w:val="24"/>
              </w:rPr>
              <w:t>, охоплюючи добавки та допоміжні матеріали</w:t>
            </w:r>
          </w:p>
        </w:tc>
        <w:tc>
          <w:tcPr>
            <w:tcW w:w="3656" w:type="dxa"/>
          </w:tcPr>
          <w:p w14:paraId="3FF2D488"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Коров’яче молоко.</w:t>
            </w:r>
          </w:p>
        </w:tc>
        <w:tc>
          <w:tcPr>
            <w:tcW w:w="993" w:type="dxa"/>
            <w:vMerge/>
            <w:tcBorders>
              <w:bottom w:val="nil"/>
            </w:tcBorders>
          </w:tcPr>
          <w:p w14:paraId="61D04563"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Pr>
          <w:p w14:paraId="0E02DAF5"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40B71D6C" w14:textId="77777777" w:rsidTr="005231C8">
        <w:trPr>
          <w:trHeight w:val="1145"/>
        </w:trPr>
        <w:tc>
          <w:tcPr>
            <w:tcW w:w="458" w:type="dxa"/>
            <w:vMerge/>
          </w:tcPr>
          <w:p w14:paraId="14066076"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Pr>
          <w:p w14:paraId="53AF4663" w14:textId="77777777" w:rsidR="00DE0C24" w:rsidRPr="00B8181E" w:rsidRDefault="00DE0C24" w:rsidP="005231C8">
            <w:pPr>
              <w:suppressAutoHyphens/>
              <w:rPr>
                <w:rFonts w:ascii="Times New Roman" w:hAnsi="Times New Roman" w:cs="Times New Roman"/>
                <w:sz w:val="24"/>
                <w:szCs w:val="24"/>
              </w:rPr>
            </w:pPr>
          </w:p>
        </w:tc>
        <w:tc>
          <w:tcPr>
            <w:tcW w:w="1447" w:type="dxa"/>
          </w:tcPr>
          <w:p w14:paraId="062C34A9"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Методи пакування та постачання</w:t>
            </w:r>
          </w:p>
        </w:tc>
        <w:tc>
          <w:tcPr>
            <w:tcW w:w="3656" w:type="dxa"/>
            <w:vAlign w:val="bottom"/>
          </w:tcPr>
          <w:p w14:paraId="68ECF210"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Короб з картону - транспортне пакування. Одиничне пакування - пакети з поліетиленової плівки. Постачається транспортом виробника відповідно з правилами перевезення швидкопсувних продуктів.</w:t>
            </w:r>
          </w:p>
        </w:tc>
        <w:tc>
          <w:tcPr>
            <w:tcW w:w="993" w:type="dxa"/>
            <w:vMerge/>
            <w:tcBorders>
              <w:bottom w:val="nil"/>
            </w:tcBorders>
          </w:tcPr>
          <w:p w14:paraId="650F3244"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Pr>
          <w:p w14:paraId="13084E78"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596AADE4" w14:textId="77777777" w:rsidTr="005231C8">
        <w:trPr>
          <w:trHeight w:val="1145"/>
        </w:trPr>
        <w:tc>
          <w:tcPr>
            <w:tcW w:w="458" w:type="dxa"/>
            <w:vMerge/>
          </w:tcPr>
          <w:p w14:paraId="4BF08B2E"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Pr>
          <w:p w14:paraId="66184078" w14:textId="77777777" w:rsidR="00DE0C24" w:rsidRPr="00B8181E" w:rsidRDefault="00DE0C24" w:rsidP="005231C8">
            <w:pPr>
              <w:suppressAutoHyphens/>
              <w:rPr>
                <w:rFonts w:ascii="Times New Roman" w:hAnsi="Times New Roman" w:cs="Times New Roman"/>
                <w:sz w:val="24"/>
                <w:szCs w:val="24"/>
              </w:rPr>
            </w:pPr>
          </w:p>
        </w:tc>
        <w:tc>
          <w:tcPr>
            <w:tcW w:w="1447" w:type="dxa"/>
            <w:tcBorders>
              <w:bottom w:val="single" w:sz="4" w:space="0" w:color="auto"/>
            </w:tcBorders>
            <w:vAlign w:val="bottom"/>
          </w:tcPr>
          <w:p w14:paraId="4B6E36DA"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Умови зберігання</w:t>
            </w:r>
          </w:p>
        </w:tc>
        <w:tc>
          <w:tcPr>
            <w:tcW w:w="3656" w:type="dxa"/>
            <w:tcBorders>
              <w:bottom w:val="single" w:sz="4" w:space="0" w:color="auto"/>
            </w:tcBorders>
            <w:vAlign w:val="bottom"/>
          </w:tcPr>
          <w:p w14:paraId="5E3B1B51"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При температурі від 2°С до 6 °С.</w:t>
            </w:r>
          </w:p>
        </w:tc>
        <w:tc>
          <w:tcPr>
            <w:tcW w:w="993" w:type="dxa"/>
            <w:vMerge/>
            <w:tcBorders>
              <w:bottom w:val="single" w:sz="4" w:space="0" w:color="auto"/>
            </w:tcBorders>
          </w:tcPr>
          <w:p w14:paraId="1C93CF44"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Borders>
              <w:bottom w:val="single" w:sz="4" w:space="0" w:color="auto"/>
            </w:tcBorders>
          </w:tcPr>
          <w:p w14:paraId="6D831933"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1A367541" w14:textId="77777777" w:rsidTr="005231C8">
        <w:trPr>
          <w:trHeight w:val="1181"/>
        </w:trPr>
        <w:tc>
          <w:tcPr>
            <w:tcW w:w="458" w:type="dxa"/>
            <w:vMerge/>
          </w:tcPr>
          <w:p w14:paraId="6C9DE11D"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Pr>
          <w:p w14:paraId="7FD1F4D7" w14:textId="77777777" w:rsidR="00DE0C24" w:rsidRPr="00B8181E" w:rsidRDefault="00DE0C24" w:rsidP="005231C8">
            <w:pPr>
              <w:suppressAutoHyphens/>
              <w:rPr>
                <w:rFonts w:ascii="Times New Roman" w:hAnsi="Times New Roman" w:cs="Times New Roman"/>
                <w:sz w:val="24"/>
                <w:szCs w:val="24"/>
              </w:rPr>
            </w:pPr>
          </w:p>
        </w:tc>
        <w:tc>
          <w:tcPr>
            <w:tcW w:w="1447" w:type="dxa"/>
            <w:tcBorders>
              <w:top w:val="single" w:sz="4" w:space="0" w:color="auto"/>
            </w:tcBorders>
            <w:vAlign w:val="bottom"/>
          </w:tcPr>
          <w:p w14:paraId="34AADE1B"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Строк придатності до використання</w:t>
            </w:r>
          </w:p>
        </w:tc>
        <w:tc>
          <w:tcPr>
            <w:tcW w:w="3656" w:type="dxa"/>
            <w:tcBorders>
              <w:top w:val="single" w:sz="4" w:space="0" w:color="auto"/>
            </w:tcBorders>
            <w:vAlign w:val="bottom"/>
          </w:tcPr>
          <w:p w14:paraId="1A179158"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72 доби</w:t>
            </w:r>
          </w:p>
        </w:tc>
        <w:tc>
          <w:tcPr>
            <w:tcW w:w="993" w:type="dxa"/>
            <w:vMerge/>
            <w:tcBorders>
              <w:top w:val="single" w:sz="4" w:space="0" w:color="auto"/>
              <w:bottom w:val="single" w:sz="4" w:space="0" w:color="auto"/>
            </w:tcBorders>
          </w:tcPr>
          <w:p w14:paraId="152FA727"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Borders>
              <w:top w:val="single" w:sz="4" w:space="0" w:color="auto"/>
            </w:tcBorders>
          </w:tcPr>
          <w:p w14:paraId="602C2FE6"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21AB7043" w14:textId="77777777" w:rsidTr="005231C8">
        <w:tc>
          <w:tcPr>
            <w:tcW w:w="458" w:type="dxa"/>
            <w:vMerge/>
          </w:tcPr>
          <w:p w14:paraId="363D0B44"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Borders>
              <w:bottom w:val="single" w:sz="4" w:space="0" w:color="auto"/>
            </w:tcBorders>
          </w:tcPr>
          <w:p w14:paraId="5EE60292" w14:textId="77777777" w:rsidR="00DE0C24" w:rsidRPr="00B8181E" w:rsidRDefault="00DE0C24" w:rsidP="005231C8">
            <w:pPr>
              <w:suppressAutoHyphens/>
              <w:rPr>
                <w:rFonts w:ascii="Times New Roman" w:hAnsi="Times New Roman" w:cs="Times New Roman"/>
                <w:sz w:val="24"/>
                <w:szCs w:val="24"/>
              </w:rPr>
            </w:pPr>
          </w:p>
        </w:tc>
        <w:tc>
          <w:tcPr>
            <w:tcW w:w="1447" w:type="dxa"/>
            <w:tcBorders>
              <w:top w:val="single" w:sz="4" w:space="0" w:color="auto"/>
            </w:tcBorders>
            <w:vAlign w:val="bottom"/>
          </w:tcPr>
          <w:p w14:paraId="38FD9732" w14:textId="77777777" w:rsidR="00DE0C24" w:rsidRPr="00B8181E" w:rsidRDefault="00DE0C24" w:rsidP="005231C8">
            <w:pPr>
              <w:suppressAutoHyphens/>
              <w:jc w:val="both"/>
              <w:rPr>
                <w:rStyle w:val="2105pt"/>
                <w:rFonts w:eastAsia="Calibri"/>
                <w:sz w:val="24"/>
                <w:szCs w:val="24"/>
              </w:rPr>
            </w:pPr>
          </w:p>
        </w:tc>
        <w:tc>
          <w:tcPr>
            <w:tcW w:w="3656" w:type="dxa"/>
            <w:tcBorders>
              <w:top w:val="single" w:sz="4" w:space="0" w:color="auto"/>
            </w:tcBorders>
            <w:vAlign w:val="bottom"/>
          </w:tcPr>
          <w:p w14:paraId="739E322D" w14:textId="77777777" w:rsidR="00DE0C24" w:rsidRPr="00B8181E" w:rsidRDefault="00DE0C24" w:rsidP="005231C8">
            <w:pPr>
              <w:suppressAutoHyphens/>
              <w:jc w:val="both"/>
              <w:rPr>
                <w:rStyle w:val="2105pt"/>
                <w:rFonts w:eastAsia="Calibri"/>
                <w:sz w:val="24"/>
                <w:szCs w:val="24"/>
              </w:rPr>
            </w:pPr>
          </w:p>
        </w:tc>
        <w:tc>
          <w:tcPr>
            <w:tcW w:w="993" w:type="dxa"/>
            <w:tcBorders>
              <w:top w:val="single" w:sz="4" w:space="0" w:color="auto"/>
              <w:bottom w:val="single" w:sz="4" w:space="0" w:color="auto"/>
            </w:tcBorders>
          </w:tcPr>
          <w:p w14:paraId="16F7E076" w14:textId="77777777" w:rsidR="00DE0C24" w:rsidRPr="00B8181E" w:rsidRDefault="00DE0C24" w:rsidP="005231C8">
            <w:pPr>
              <w:suppressAutoHyphens/>
              <w:jc w:val="both"/>
              <w:rPr>
                <w:rFonts w:ascii="Times New Roman" w:hAnsi="Times New Roman" w:cs="Times New Roman"/>
                <w:sz w:val="24"/>
                <w:szCs w:val="24"/>
              </w:rPr>
            </w:pPr>
          </w:p>
        </w:tc>
        <w:tc>
          <w:tcPr>
            <w:tcW w:w="1275" w:type="dxa"/>
            <w:tcBorders>
              <w:top w:val="single" w:sz="4" w:space="0" w:color="auto"/>
            </w:tcBorders>
          </w:tcPr>
          <w:p w14:paraId="3E6AC8F0"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5BB03BFA" w14:textId="77777777" w:rsidTr="005231C8">
        <w:trPr>
          <w:trHeight w:val="1145"/>
        </w:trPr>
        <w:tc>
          <w:tcPr>
            <w:tcW w:w="458" w:type="dxa"/>
            <w:vMerge w:val="restart"/>
            <w:tcBorders>
              <w:top w:val="nil"/>
            </w:tcBorders>
          </w:tcPr>
          <w:p w14:paraId="48FE8259"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val="restart"/>
            <w:tcBorders>
              <w:top w:val="nil"/>
            </w:tcBorders>
          </w:tcPr>
          <w:p w14:paraId="66DB5929" w14:textId="77777777" w:rsidR="00DE0C24" w:rsidRPr="00B8181E" w:rsidRDefault="00DE0C24" w:rsidP="005231C8">
            <w:pPr>
              <w:suppressAutoHyphens/>
              <w:rPr>
                <w:rFonts w:ascii="Times New Roman" w:hAnsi="Times New Roman" w:cs="Times New Roman"/>
                <w:sz w:val="24"/>
                <w:szCs w:val="24"/>
              </w:rPr>
            </w:pPr>
          </w:p>
        </w:tc>
        <w:tc>
          <w:tcPr>
            <w:tcW w:w="1447" w:type="dxa"/>
          </w:tcPr>
          <w:p w14:paraId="07F86904"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Маркування</w:t>
            </w:r>
          </w:p>
        </w:tc>
        <w:tc>
          <w:tcPr>
            <w:tcW w:w="3656" w:type="dxa"/>
            <w:vAlign w:val="bottom"/>
          </w:tcPr>
          <w:p w14:paraId="5FE1803D"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 xml:space="preserve">Етикетка із зазначенням загальної назви продукції та масової частки жиру, місця виготовлення продукції, кількості </w:t>
            </w:r>
            <w:proofErr w:type="spellStart"/>
            <w:r w:rsidRPr="00B8181E">
              <w:rPr>
                <w:rStyle w:val="2105pt"/>
                <w:rFonts w:eastAsia="Calibri"/>
                <w:sz w:val="24"/>
                <w:szCs w:val="24"/>
              </w:rPr>
              <w:t>нетто</w:t>
            </w:r>
            <w:proofErr w:type="spellEnd"/>
            <w:r w:rsidRPr="00B8181E">
              <w:rPr>
                <w:rStyle w:val="2105pt"/>
                <w:rFonts w:eastAsia="Calibri"/>
                <w:sz w:val="24"/>
                <w:szCs w:val="24"/>
              </w:rPr>
              <w:t>, харчової та енергетичної цінності продукту, дати виготовлення, умов зберігання та строку придатності, номеру партії виробництва, складу, назва та адреса виробника та потужності.</w:t>
            </w:r>
          </w:p>
        </w:tc>
        <w:tc>
          <w:tcPr>
            <w:tcW w:w="993" w:type="dxa"/>
            <w:vMerge w:val="restart"/>
            <w:tcBorders>
              <w:top w:val="nil"/>
            </w:tcBorders>
          </w:tcPr>
          <w:p w14:paraId="6901906E"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val="restart"/>
            <w:tcBorders>
              <w:top w:val="nil"/>
            </w:tcBorders>
          </w:tcPr>
          <w:p w14:paraId="7C0EB7DB"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30F417C8" w14:textId="77777777" w:rsidTr="005231C8">
        <w:trPr>
          <w:trHeight w:val="1145"/>
        </w:trPr>
        <w:tc>
          <w:tcPr>
            <w:tcW w:w="458" w:type="dxa"/>
            <w:vMerge/>
          </w:tcPr>
          <w:p w14:paraId="12F9C38F"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Borders>
              <w:top w:val="nil"/>
            </w:tcBorders>
          </w:tcPr>
          <w:p w14:paraId="12D00158" w14:textId="77777777" w:rsidR="00DE0C24" w:rsidRPr="00B8181E" w:rsidRDefault="00DE0C24" w:rsidP="005231C8">
            <w:pPr>
              <w:suppressAutoHyphens/>
              <w:rPr>
                <w:rFonts w:ascii="Times New Roman" w:hAnsi="Times New Roman" w:cs="Times New Roman"/>
                <w:sz w:val="24"/>
                <w:szCs w:val="24"/>
              </w:rPr>
            </w:pPr>
          </w:p>
        </w:tc>
        <w:tc>
          <w:tcPr>
            <w:tcW w:w="1447" w:type="dxa"/>
            <w:vAlign w:val="bottom"/>
          </w:tcPr>
          <w:p w14:paraId="50D04FE1"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 xml:space="preserve">Підготування та, або оперування перед </w:t>
            </w:r>
            <w:r w:rsidRPr="00B8181E">
              <w:rPr>
                <w:rStyle w:val="2105pt"/>
                <w:rFonts w:eastAsia="Calibri"/>
                <w:sz w:val="24"/>
                <w:szCs w:val="24"/>
              </w:rPr>
              <w:lastRenderedPageBreak/>
              <w:t>використанням або обробленням</w:t>
            </w:r>
          </w:p>
        </w:tc>
        <w:tc>
          <w:tcPr>
            <w:tcW w:w="3656" w:type="dxa"/>
            <w:vAlign w:val="bottom"/>
          </w:tcPr>
          <w:p w14:paraId="62954C71"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lastRenderedPageBreak/>
              <w:t xml:space="preserve">Звільнення з упаковки та використання згідно технологічного процесу та </w:t>
            </w:r>
            <w:r w:rsidRPr="00B8181E">
              <w:rPr>
                <w:rStyle w:val="2105pt"/>
                <w:rFonts w:eastAsia="Calibri"/>
                <w:sz w:val="24"/>
                <w:szCs w:val="24"/>
              </w:rPr>
              <w:lastRenderedPageBreak/>
              <w:t>рецептури.</w:t>
            </w:r>
          </w:p>
        </w:tc>
        <w:tc>
          <w:tcPr>
            <w:tcW w:w="993" w:type="dxa"/>
            <w:vMerge/>
          </w:tcPr>
          <w:p w14:paraId="14A285DC"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Pr>
          <w:p w14:paraId="39F61799" w14:textId="77777777" w:rsidR="00DE0C24" w:rsidRPr="00B8181E" w:rsidRDefault="00DE0C24" w:rsidP="005231C8">
            <w:pPr>
              <w:suppressAutoHyphens/>
              <w:jc w:val="both"/>
              <w:rPr>
                <w:rFonts w:ascii="Times New Roman" w:hAnsi="Times New Roman" w:cs="Times New Roman"/>
                <w:sz w:val="24"/>
                <w:szCs w:val="24"/>
              </w:rPr>
            </w:pPr>
          </w:p>
        </w:tc>
      </w:tr>
      <w:tr w:rsidR="00DE0C24" w:rsidRPr="00B8181E" w14:paraId="13E46930" w14:textId="77777777" w:rsidTr="005231C8">
        <w:trPr>
          <w:trHeight w:val="1145"/>
        </w:trPr>
        <w:tc>
          <w:tcPr>
            <w:tcW w:w="458" w:type="dxa"/>
            <w:vMerge/>
          </w:tcPr>
          <w:p w14:paraId="1F412D46" w14:textId="77777777" w:rsidR="00DE0C24" w:rsidRPr="00B8181E" w:rsidRDefault="00DE0C24" w:rsidP="005231C8">
            <w:pPr>
              <w:suppressAutoHyphens/>
              <w:jc w:val="both"/>
              <w:rPr>
                <w:rFonts w:ascii="Times New Roman" w:hAnsi="Times New Roman" w:cs="Times New Roman"/>
                <w:kern w:val="2"/>
                <w:sz w:val="24"/>
                <w:szCs w:val="24"/>
                <w:lang w:eastAsia="hi-IN" w:bidi="hi-IN"/>
              </w:rPr>
            </w:pPr>
          </w:p>
        </w:tc>
        <w:tc>
          <w:tcPr>
            <w:tcW w:w="2170" w:type="dxa"/>
            <w:vMerge/>
            <w:tcBorders>
              <w:top w:val="nil"/>
            </w:tcBorders>
          </w:tcPr>
          <w:p w14:paraId="22729333" w14:textId="77777777" w:rsidR="00DE0C24" w:rsidRPr="00B8181E" w:rsidRDefault="00DE0C24" w:rsidP="005231C8">
            <w:pPr>
              <w:suppressAutoHyphens/>
              <w:rPr>
                <w:rFonts w:ascii="Times New Roman" w:hAnsi="Times New Roman" w:cs="Times New Roman"/>
                <w:sz w:val="24"/>
                <w:szCs w:val="24"/>
              </w:rPr>
            </w:pPr>
          </w:p>
        </w:tc>
        <w:tc>
          <w:tcPr>
            <w:tcW w:w="1447" w:type="dxa"/>
          </w:tcPr>
          <w:p w14:paraId="2085CAEB"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Критерії прийнятності, пов’язані з безпечністю харчових продуктів</w:t>
            </w:r>
          </w:p>
        </w:tc>
        <w:tc>
          <w:tcPr>
            <w:tcW w:w="3656" w:type="dxa"/>
            <w:vAlign w:val="bottom"/>
          </w:tcPr>
          <w:p w14:paraId="47C66679" w14:textId="77777777" w:rsidR="00DE0C24" w:rsidRPr="00B8181E" w:rsidRDefault="00DE0C24" w:rsidP="005231C8">
            <w:pPr>
              <w:suppressAutoHyphens/>
              <w:jc w:val="both"/>
              <w:rPr>
                <w:rFonts w:ascii="Times New Roman" w:hAnsi="Times New Roman" w:cs="Times New Roman"/>
                <w:sz w:val="24"/>
                <w:szCs w:val="24"/>
              </w:rPr>
            </w:pPr>
            <w:r w:rsidRPr="00B8181E">
              <w:rPr>
                <w:rStyle w:val="2105pt"/>
                <w:rFonts w:eastAsia="Calibri"/>
                <w:sz w:val="24"/>
                <w:szCs w:val="24"/>
              </w:rPr>
              <w:t>Цілісність упаковки, зовнішній вигляд продукту, дата виготовлення, температура продукту, медична книжка водія, вигляд транспортного засобу, наявність супровідної документації (декларація виробника з показниками якості та безпечності (специфікації, сертифікати), видаткові накладні, відповідність вказаному у накладній до товару.</w:t>
            </w:r>
          </w:p>
        </w:tc>
        <w:tc>
          <w:tcPr>
            <w:tcW w:w="993" w:type="dxa"/>
            <w:vMerge/>
          </w:tcPr>
          <w:p w14:paraId="21560647" w14:textId="77777777" w:rsidR="00DE0C24" w:rsidRPr="00B8181E" w:rsidRDefault="00DE0C24" w:rsidP="005231C8">
            <w:pPr>
              <w:suppressAutoHyphens/>
              <w:jc w:val="both"/>
              <w:rPr>
                <w:rFonts w:ascii="Times New Roman" w:hAnsi="Times New Roman" w:cs="Times New Roman"/>
                <w:sz w:val="24"/>
                <w:szCs w:val="24"/>
              </w:rPr>
            </w:pPr>
          </w:p>
        </w:tc>
        <w:tc>
          <w:tcPr>
            <w:tcW w:w="1275" w:type="dxa"/>
            <w:vMerge/>
          </w:tcPr>
          <w:p w14:paraId="7C3B8EDB" w14:textId="77777777" w:rsidR="00DE0C24" w:rsidRPr="00B8181E" w:rsidRDefault="00DE0C24" w:rsidP="005231C8">
            <w:pPr>
              <w:suppressAutoHyphens/>
              <w:jc w:val="both"/>
              <w:rPr>
                <w:rFonts w:ascii="Times New Roman" w:hAnsi="Times New Roman" w:cs="Times New Roman"/>
                <w:sz w:val="24"/>
                <w:szCs w:val="24"/>
              </w:rPr>
            </w:pPr>
          </w:p>
        </w:tc>
      </w:tr>
    </w:tbl>
    <w:p w14:paraId="3CA41334" w14:textId="77777777" w:rsidR="00DE0C24" w:rsidRPr="00B8181E" w:rsidRDefault="00DE0C24" w:rsidP="00DE0C24">
      <w:pPr>
        <w:shd w:val="clear" w:color="auto" w:fill="FFFFFF"/>
        <w:spacing w:line="240" w:lineRule="auto"/>
        <w:jc w:val="both"/>
        <w:rPr>
          <w:rFonts w:ascii="Times New Roman" w:eastAsia="Times New Roman" w:hAnsi="Times New Roman" w:cs="Times New Roman"/>
          <w:sz w:val="24"/>
          <w:szCs w:val="24"/>
          <w:shd w:val="clear" w:color="auto" w:fill="FFFFFF"/>
          <w:lang w:eastAsia="uk-UA"/>
        </w:rPr>
      </w:pPr>
    </w:p>
    <w:p w14:paraId="7D8197A4" w14:textId="77777777" w:rsidR="00DE0C24" w:rsidRPr="00B8181E" w:rsidRDefault="00DE0C24" w:rsidP="00DE0C24">
      <w:pPr>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sidRPr="00B8181E">
        <w:rPr>
          <w:rFonts w:ascii="Times New Roman" w:eastAsia="Times New Roman" w:hAnsi="Times New Roman" w:cs="Times New Roman"/>
          <w:sz w:val="24"/>
          <w:szCs w:val="24"/>
          <w:shd w:val="clear" w:color="auto" w:fill="FFFFFF"/>
          <w:lang w:eastAsia="uk-UA"/>
        </w:rPr>
        <w:t>Поставка товару здійснюється окремими партіями в кількості (обсягах)</w:t>
      </w:r>
      <w:r w:rsidRPr="00B8181E">
        <w:rPr>
          <w:rFonts w:ascii="Times New Roman" w:hAnsi="Times New Roman" w:cs="Times New Roman"/>
          <w:sz w:val="24"/>
          <w:szCs w:val="24"/>
        </w:rPr>
        <w:t xml:space="preserve"> та асортименті</w:t>
      </w:r>
      <w:r w:rsidRPr="00B8181E">
        <w:rPr>
          <w:rFonts w:ascii="Times New Roman" w:eastAsia="Times New Roman" w:hAnsi="Times New Roman" w:cs="Times New Roman"/>
          <w:sz w:val="24"/>
          <w:szCs w:val="24"/>
          <w:shd w:val="clear" w:color="auto" w:fill="FFFFFF"/>
          <w:lang w:eastAsia="uk-UA"/>
        </w:rPr>
        <w:t xml:space="preserve"> згідно заявки Замовника (передається Учаснику будь-яким зручним для Замовника способом (поштою, електронною поштою, особисто, факсом, в телефонному режимі тощо) та  в терміни – згідно погодженого графіку.</w:t>
      </w:r>
    </w:p>
    <w:p w14:paraId="6FA3620A" w14:textId="77777777" w:rsidR="00DE0C24" w:rsidRPr="00B8181E" w:rsidRDefault="00DE0C24" w:rsidP="00DE0C24">
      <w:pPr>
        <w:pStyle w:val="ab"/>
        <w:spacing w:before="0" w:beforeAutospacing="0" w:after="0" w:afterAutospacing="0"/>
        <w:ind w:firstLine="567"/>
        <w:jc w:val="both"/>
        <w:rPr>
          <w:color w:val="000000"/>
        </w:rPr>
      </w:pPr>
      <w:r w:rsidRPr="00B8181E">
        <w:rPr>
          <w:color w:val="000000"/>
        </w:rPr>
        <w:t>Маркування продукту закупівлі повинно бути на українській мові та відповідати вимогам  чинного Законодавства України .</w:t>
      </w:r>
    </w:p>
    <w:p w14:paraId="69F51663" w14:textId="77777777" w:rsidR="00DE0C24" w:rsidRPr="00B8181E" w:rsidRDefault="00DE0C24" w:rsidP="00DE0C24">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uk-UA"/>
        </w:rPr>
      </w:pPr>
      <w:r w:rsidRPr="00B8181E">
        <w:rPr>
          <w:rFonts w:ascii="Times New Roman" w:eastAsia="Times New Roman" w:hAnsi="Times New Roman" w:cs="Times New Roman"/>
          <w:kern w:val="1"/>
          <w:sz w:val="24"/>
          <w:szCs w:val="24"/>
          <w:shd w:val="clear" w:color="auto" w:fill="FFFFFF"/>
          <w:lang w:eastAsia="zh-CN"/>
        </w:rPr>
        <w:t>Товар повинен відповідати показникам безпечності та якості для харчових продуктів, що передбачені чинним законодавством України, державними, галузевими стандартами.</w:t>
      </w:r>
      <w:r w:rsidRPr="00B8181E">
        <w:rPr>
          <w:rFonts w:ascii="Times New Roman" w:eastAsia="Times New Roman" w:hAnsi="Times New Roman" w:cs="Times New Roman"/>
          <w:color w:val="00000A"/>
          <w:kern w:val="1"/>
          <w:sz w:val="24"/>
          <w:szCs w:val="24"/>
          <w:shd w:val="clear" w:color="auto" w:fill="FFFFFF"/>
          <w:lang w:eastAsia="zh-CN"/>
        </w:rPr>
        <w:t xml:space="preserve"> </w:t>
      </w:r>
      <w:r w:rsidRPr="00B8181E">
        <w:rPr>
          <w:rFonts w:ascii="Times New Roman" w:eastAsia="Times New Roman" w:hAnsi="Times New Roman" w:cs="Times New Roman"/>
          <w:color w:val="00000A"/>
          <w:kern w:val="1"/>
          <w:sz w:val="24"/>
          <w:szCs w:val="24"/>
          <w:lang w:eastAsia="zh-CN"/>
        </w:rPr>
        <w:t xml:space="preserve">Товар не повинен містити штучних барвників, ароматизаторів, </w:t>
      </w:r>
      <w:proofErr w:type="spellStart"/>
      <w:r w:rsidRPr="00B8181E">
        <w:rPr>
          <w:rFonts w:ascii="Times New Roman" w:eastAsia="Times New Roman" w:hAnsi="Times New Roman" w:cs="Times New Roman"/>
          <w:color w:val="00000A"/>
          <w:kern w:val="1"/>
          <w:sz w:val="24"/>
          <w:szCs w:val="24"/>
          <w:lang w:eastAsia="zh-CN"/>
        </w:rPr>
        <w:t>підсолоджувачів</w:t>
      </w:r>
      <w:proofErr w:type="spellEnd"/>
      <w:r w:rsidRPr="00B8181E">
        <w:rPr>
          <w:rFonts w:ascii="Times New Roman" w:eastAsia="Times New Roman" w:hAnsi="Times New Roman" w:cs="Times New Roman"/>
          <w:color w:val="00000A"/>
          <w:kern w:val="1"/>
          <w:sz w:val="24"/>
          <w:szCs w:val="24"/>
          <w:lang w:eastAsia="zh-CN"/>
        </w:rPr>
        <w:t>, підсилювачів смаку, а також ГМО.</w:t>
      </w:r>
      <w:r w:rsidRPr="00B8181E">
        <w:rPr>
          <w:rFonts w:ascii="Times New Roman" w:eastAsia="Times New Roman" w:hAnsi="Times New Roman" w:cs="Times New Roman"/>
          <w:bCs/>
          <w:sz w:val="24"/>
          <w:szCs w:val="24"/>
          <w:lang w:eastAsia="uk-UA"/>
        </w:rPr>
        <w:t xml:space="preserve"> </w:t>
      </w:r>
    </w:p>
    <w:p w14:paraId="7A68BE6F" w14:textId="77777777" w:rsidR="00DE0C24" w:rsidRPr="00B8181E" w:rsidRDefault="00DE0C24" w:rsidP="00DE0C2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B8181E">
        <w:rPr>
          <w:rFonts w:ascii="Times New Roman" w:hAnsi="Times New Roman" w:cs="Times New Roman"/>
          <w:sz w:val="24"/>
          <w:szCs w:val="24"/>
        </w:rPr>
        <w:t xml:space="preserve">Якісно поставленим Товаром вважається такий Товар, який відповідає вимогам, що звичайно ставляться до Товару відповідного характеру. Товари, що постачаються, повинні мати: необхідні копії сертифікатів якості виробника товару або реєстраційне посвідчення або висновок державної санітарно-епідеміологічної експертизи, або інший подібний документ, що підтверджує відповідність товару вимогам ДСТУ. При постачанні товару цілісність упаковки та якісне оформлення повинно бути без пошкоджень. </w:t>
      </w:r>
    </w:p>
    <w:p w14:paraId="1F5EACCD" w14:textId="77777777" w:rsidR="00DE0C24" w:rsidRPr="00B8181E" w:rsidRDefault="00DE0C24" w:rsidP="00DE0C24">
      <w:pPr>
        <w:pStyle w:val="ab"/>
        <w:spacing w:before="0" w:beforeAutospacing="0" w:after="0" w:afterAutospacing="0"/>
        <w:ind w:firstLine="567"/>
        <w:jc w:val="both"/>
        <w:rPr>
          <w:color w:val="000000"/>
        </w:rPr>
      </w:pPr>
      <w:r w:rsidRPr="00B8181E">
        <w:rPr>
          <w:color w:val="000000"/>
        </w:rPr>
        <w:t xml:space="preserve">Дефекти недопустимі; при виявленні Замовником дефектів, простроченого терміну придатності товару, будь-якого іншого недоліку, що може якимось чином вплинути на якісні характеристики товару, у разі виявлення неякісного товару постачальник зобов’язаний замінити цей товар на якісний протягом 8-годин. </w:t>
      </w:r>
    </w:p>
    <w:p w14:paraId="0E17ED59" w14:textId="77777777" w:rsidR="00DE0C24" w:rsidRPr="00B8181E" w:rsidRDefault="00DE0C24" w:rsidP="00DE0C2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B8181E">
        <w:rPr>
          <w:rFonts w:ascii="Times New Roman" w:hAnsi="Times New Roman" w:cs="Times New Roman"/>
          <w:sz w:val="24"/>
          <w:szCs w:val="24"/>
        </w:rPr>
        <w:t>Обов'язково надавати товарно-транспортну накладну на кожну поставку продукції.</w:t>
      </w:r>
    </w:p>
    <w:p w14:paraId="46F91DA3" w14:textId="77777777" w:rsidR="00DE0C24" w:rsidRPr="00B8181E" w:rsidRDefault="00DE0C24" w:rsidP="00DE0C2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B8181E">
        <w:rPr>
          <w:rFonts w:ascii="Times New Roman" w:hAnsi="Times New Roman" w:cs="Times New Roman"/>
          <w:sz w:val="24"/>
          <w:szCs w:val="24"/>
        </w:rPr>
        <w:t xml:space="preserve">Транспортні засоби для перевезення товару повинні відповідати вимогам санітарних норм та правил. </w:t>
      </w:r>
      <w:r w:rsidRPr="00B8181E">
        <w:rPr>
          <w:rFonts w:ascii="Times New Roman" w:eastAsia="Times New Roman" w:hAnsi="Times New Roman" w:cs="Times New Roman"/>
          <w:color w:val="00000A"/>
          <w:sz w:val="24"/>
          <w:szCs w:val="24"/>
          <w:shd w:val="clear" w:color="auto" w:fill="FFFFFF"/>
          <w:lang w:eastAsia="uk-UA"/>
        </w:rPr>
        <w:t>Копії медичних книжок водія (їв) /експедитора (</w:t>
      </w:r>
      <w:proofErr w:type="spellStart"/>
      <w:r w:rsidRPr="00B8181E">
        <w:rPr>
          <w:rFonts w:ascii="Times New Roman" w:eastAsia="Times New Roman" w:hAnsi="Times New Roman" w:cs="Times New Roman"/>
          <w:color w:val="00000A"/>
          <w:sz w:val="24"/>
          <w:szCs w:val="24"/>
          <w:shd w:val="clear" w:color="auto" w:fill="FFFFFF"/>
          <w:lang w:eastAsia="uk-UA"/>
        </w:rPr>
        <w:t>ів</w:t>
      </w:r>
      <w:proofErr w:type="spellEnd"/>
      <w:r w:rsidRPr="00B8181E">
        <w:rPr>
          <w:rFonts w:ascii="Times New Roman" w:eastAsia="Times New Roman" w:hAnsi="Times New Roman" w:cs="Times New Roman"/>
          <w:color w:val="00000A"/>
          <w:sz w:val="24"/>
          <w:szCs w:val="24"/>
          <w:shd w:val="clear" w:color="auto" w:fill="FFFFFF"/>
          <w:lang w:eastAsia="uk-UA"/>
        </w:rPr>
        <w:t>) автотранспорту, гігієнічне навчання експедитора (</w:t>
      </w:r>
      <w:proofErr w:type="spellStart"/>
      <w:r w:rsidRPr="00B8181E">
        <w:rPr>
          <w:rFonts w:ascii="Times New Roman" w:eastAsia="Times New Roman" w:hAnsi="Times New Roman" w:cs="Times New Roman"/>
          <w:color w:val="00000A"/>
          <w:sz w:val="24"/>
          <w:szCs w:val="24"/>
          <w:shd w:val="clear" w:color="auto" w:fill="FFFFFF"/>
          <w:lang w:eastAsia="uk-UA"/>
        </w:rPr>
        <w:t>ів</w:t>
      </w:r>
      <w:proofErr w:type="spellEnd"/>
      <w:r w:rsidRPr="00B8181E">
        <w:rPr>
          <w:rFonts w:ascii="Times New Roman" w:eastAsia="Times New Roman" w:hAnsi="Times New Roman" w:cs="Times New Roman"/>
          <w:color w:val="00000A"/>
          <w:sz w:val="24"/>
          <w:szCs w:val="24"/>
          <w:shd w:val="clear" w:color="auto" w:fill="FFFFFF"/>
          <w:lang w:eastAsia="uk-UA"/>
        </w:rPr>
        <w:t xml:space="preserve">) які будуть обслуговувати даний маршрут, повинне пред’являтися при кожній поставці товару. </w:t>
      </w:r>
    </w:p>
    <w:p w14:paraId="5DF2D9CB" w14:textId="77777777" w:rsidR="00DE0C24" w:rsidRPr="00B8181E" w:rsidRDefault="00DE0C24" w:rsidP="00DE0C24">
      <w:pPr>
        <w:pStyle w:val="ab"/>
        <w:spacing w:before="0" w:beforeAutospacing="0" w:after="0" w:afterAutospacing="0"/>
        <w:ind w:firstLine="567"/>
        <w:jc w:val="both"/>
        <w:rPr>
          <w:color w:val="000000"/>
        </w:rPr>
      </w:pPr>
      <w:r w:rsidRPr="00B8181E">
        <w:rPr>
          <w:color w:val="000000"/>
        </w:rPr>
        <w:t>Доставка (перевезення) та розвантаження товару здійснюється силами та за рахунок Учасника.</w:t>
      </w:r>
    </w:p>
    <w:p w14:paraId="489A29F2" w14:textId="77777777" w:rsidR="00DE0C24" w:rsidRPr="00B8181E" w:rsidRDefault="00DE0C24" w:rsidP="00DE0C24">
      <w:pPr>
        <w:pStyle w:val="ab"/>
        <w:spacing w:before="0" w:beforeAutospacing="0" w:after="0" w:afterAutospacing="0"/>
        <w:ind w:firstLine="567"/>
        <w:jc w:val="both"/>
        <w:rPr>
          <w:color w:val="000000"/>
        </w:rPr>
      </w:pPr>
      <w:r w:rsidRPr="00B8181E">
        <w:rPr>
          <w:color w:val="000000"/>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14:paraId="5D4803A7" w14:textId="77777777" w:rsidR="00DE0C24" w:rsidRPr="00B8181E" w:rsidRDefault="00DE0C24" w:rsidP="00DE0C24">
      <w:pPr>
        <w:spacing w:after="0" w:line="240" w:lineRule="auto"/>
        <w:ind w:firstLine="567"/>
        <w:jc w:val="both"/>
        <w:rPr>
          <w:rFonts w:ascii="Times New Roman" w:eastAsia="Times New Roman" w:hAnsi="Times New Roman" w:cs="Times New Roman"/>
          <w:sz w:val="24"/>
          <w:szCs w:val="24"/>
          <w:lang w:eastAsia="uk-UA"/>
        </w:rPr>
      </w:pPr>
      <w:r w:rsidRPr="00B8181E">
        <w:rPr>
          <w:rFonts w:ascii="Times New Roman" w:eastAsia="Times New Roman" w:hAnsi="Times New Roman" w:cs="Times New Roman"/>
          <w:sz w:val="24"/>
          <w:szCs w:val="24"/>
          <w:lang w:eastAsia="uk-UA"/>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2EC0F63C" w14:textId="77777777" w:rsidR="00DE0C24" w:rsidRPr="00E3573F"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t>У складі тендерної пропозиції необхідно наступні документи:</w:t>
      </w:r>
    </w:p>
    <w:p w14:paraId="3BB32A19" w14:textId="4FD2760F" w:rsidR="00DE0C24" w:rsidRPr="00E3573F"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lastRenderedPageBreak/>
        <w:t xml:space="preserve">- копію </w:t>
      </w:r>
      <w:r w:rsidR="00F82D65" w:rsidRPr="00E3573F">
        <w:rPr>
          <w:rFonts w:ascii="Times New Roman" w:hAnsi="Times New Roman" w:cs="Times New Roman"/>
          <w:sz w:val="24"/>
          <w:szCs w:val="24"/>
          <w:shd w:val="clear" w:color="auto" w:fill="FFFFFF"/>
        </w:rPr>
        <w:t>документа</w:t>
      </w:r>
      <w:r w:rsidRPr="00E3573F">
        <w:rPr>
          <w:rFonts w:ascii="Times New Roman" w:hAnsi="Times New Roman" w:cs="Times New Roman"/>
          <w:sz w:val="24"/>
          <w:szCs w:val="24"/>
          <w:shd w:val="clear" w:color="auto" w:fill="FFFFFF"/>
        </w:rPr>
        <w:t xml:space="preserve"> щодо державної реєстрацію </w:t>
      </w:r>
      <w:proofErr w:type="spellStart"/>
      <w:r w:rsidRPr="00E3573F">
        <w:rPr>
          <w:rFonts w:ascii="Times New Roman" w:hAnsi="Times New Roman" w:cs="Times New Roman"/>
          <w:sz w:val="24"/>
          <w:szCs w:val="24"/>
          <w:shd w:val="clear" w:color="auto" w:fill="FFFFFF"/>
        </w:rPr>
        <w:t>потужностей</w:t>
      </w:r>
      <w:proofErr w:type="spellEnd"/>
      <w:r w:rsidRPr="00E3573F">
        <w:rPr>
          <w:rFonts w:ascii="Times New Roman" w:hAnsi="Times New Roman" w:cs="Times New Roman"/>
          <w:sz w:val="24"/>
          <w:szCs w:val="24"/>
          <w:shd w:val="clear" w:color="auto" w:fill="FFFFFF"/>
        </w:rPr>
        <w:t xml:space="preserve"> виданий Державною службою України з питань безпечності харчових продуктів та захисту споживачів.</w:t>
      </w:r>
    </w:p>
    <w:p w14:paraId="6362D3CD" w14:textId="77777777" w:rsidR="00DE0C24" w:rsidRPr="00E3573F"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t xml:space="preserve">- копію протоколу випробувань товару, що є предметом закупівлі на вміст </w:t>
      </w:r>
      <w:proofErr w:type="spellStart"/>
      <w:r w:rsidRPr="00E3573F">
        <w:rPr>
          <w:rFonts w:ascii="Times New Roman" w:hAnsi="Times New Roman" w:cs="Times New Roman"/>
          <w:sz w:val="24"/>
          <w:szCs w:val="24"/>
          <w:shd w:val="clear" w:color="auto" w:fill="FFFFFF"/>
        </w:rPr>
        <w:t>мікотоксинів</w:t>
      </w:r>
      <w:proofErr w:type="spellEnd"/>
      <w:r w:rsidRPr="00E3573F">
        <w:rPr>
          <w:rFonts w:ascii="Times New Roman" w:hAnsi="Times New Roman" w:cs="Times New Roman"/>
          <w:sz w:val="24"/>
          <w:szCs w:val="24"/>
          <w:shd w:val="clear" w:color="auto" w:fill="FFFFFF"/>
        </w:rPr>
        <w:t>, згідно з яким товар повинен відповідати вимогам санітарного законодавства України</w:t>
      </w:r>
    </w:p>
    <w:p w14:paraId="61644DB1" w14:textId="1A271283" w:rsidR="00DE0C24" w:rsidRPr="00E3573F"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t>- копію експертного висновку щодо санітарно-гігієнічних випробувань БГКП (дезінфекції) автомобіля що буде здійснювати поставку товару виданий Державною службою України з питань безпечності харчових продуктів та захисту споживачів.</w:t>
      </w:r>
    </w:p>
    <w:p w14:paraId="6005608E" w14:textId="7DB37DB7" w:rsidR="00DE0C24" w:rsidRPr="00E3573F"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t>- копію акту стосовно проведення дезінфекції автомобіля, що буде здійснювати поставку товару.</w:t>
      </w:r>
    </w:p>
    <w:p w14:paraId="49561EF2" w14:textId="7208C140" w:rsidR="00DE0C24" w:rsidRPr="00E3573F"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t>- копію акту стосовно проведення дезінфекції складського/виробничого приміщення.</w:t>
      </w:r>
    </w:p>
    <w:p w14:paraId="07EE1152" w14:textId="2179414A" w:rsidR="00DE0C24" w:rsidRPr="00E3573F"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t xml:space="preserve">- сертифікат на систему екологічного управління (відповідність вимогам </w:t>
      </w:r>
      <w:r w:rsidR="007369C3">
        <w:rPr>
          <w:rFonts w:ascii="Times New Roman" w:hAnsi="Times New Roman" w:cs="Times New Roman"/>
          <w:sz w:val="24"/>
          <w:szCs w:val="24"/>
          <w:shd w:val="clear" w:color="auto" w:fill="FFFFFF"/>
        </w:rPr>
        <w:t xml:space="preserve">ДСТУ </w:t>
      </w:r>
      <w:r w:rsidRPr="00E3573F">
        <w:rPr>
          <w:rFonts w:ascii="Times New Roman" w:hAnsi="Times New Roman" w:cs="Times New Roman"/>
          <w:sz w:val="24"/>
          <w:szCs w:val="24"/>
          <w:shd w:val="clear" w:color="auto" w:fill="FFFFFF"/>
        </w:rPr>
        <w:t xml:space="preserve">ISO 14001:2015), сертифікат на систему управління якістю (відповідність вимогам </w:t>
      </w:r>
      <w:r w:rsidR="007369C3">
        <w:rPr>
          <w:rFonts w:ascii="Times New Roman" w:hAnsi="Times New Roman" w:cs="Times New Roman"/>
          <w:sz w:val="24"/>
          <w:szCs w:val="24"/>
          <w:shd w:val="clear" w:color="auto" w:fill="FFFFFF"/>
        </w:rPr>
        <w:t xml:space="preserve">ДСТУ </w:t>
      </w:r>
      <w:r w:rsidRPr="00E3573F">
        <w:rPr>
          <w:rFonts w:ascii="Times New Roman" w:hAnsi="Times New Roman" w:cs="Times New Roman"/>
          <w:sz w:val="24"/>
          <w:szCs w:val="24"/>
          <w:shd w:val="clear" w:color="auto" w:fill="FFFFFF"/>
        </w:rPr>
        <w:t xml:space="preserve">ISO 9001:2015), сертифікат на систему управління безпечністю харчових продуктів (відповідність вимогам </w:t>
      </w:r>
      <w:r w:rsidR="007369C3">
        <w:rPr>
          <w:rFonts w:ascii="Times New Roman" w:hAnsi="Times New Roman" w:cs="Times New Roman"/>
          <w:sz w:val="24"/>
          <w:szCs w:val="24"/>
          <w:shd w:val="clear" w:color="auto" w:fill="FFFFFF"/>
        </w:rPr>
        <w:t xml:space="preserve">ДСТУ </w:t>
      </w:r>
      <w:r w:rsidRPr="00E3573F">
        <w:rPr>
          <w:rFonts w:ascii="Times New Roman" w:hAnsi="Times New Roman" w:cs="Times New Roman"/>
          <w:sz w:val="24"/>
          <w:szCs w:val="24"/>
          <w:shd w:val="clear" w:color="auto" w:fill="FFFFFF"/>
        </w:rPr>
        <w:t>ISO 22000:20</w:t>
      </w:r>
      <w:r w:rsidR="007369C3">
        <w:rPr>
          <w:rFonts w:ascii="Times New Roman" w:hAnsi="Times New Roman" w:cs="Times New Roman"/>
          <w:sz w:val="24"/>
          <w:szCs w:val="24"/>
          <w:shd w:val="clear" w:color="auto" w:fill="FFFFFF"/>
        </w:rPr>
        <w:t>19</w:t>
      </w:r>
      <w:r w:rsidRPr="00E3573F">
        <w:rPr>
          <w:rFonts w:ascii="Times New Roman" w:hAnsi="Times New Roman" w:cs="Times New Roman"/>
          <w:sz w:val="24"/>
          <w:szCs w:val="24"/>
          <w:shd w:val="clear" w:color="auto" w:fill="FFFFFF"/>
        </w:rPr>
        <w:t>)</w:t>
      </w:r>
      <w:r w:rsidR="00F82D65" w:rsidRPr="00E3573F">
        <w:rPr>
          <w:rFonts w:ascii="Times New Roman" w:hAnsi="Times New Roman" w:cs="Times New Roman"/>
          <w:sz w:val="24"/>
          <w:szCs w:val="24"/>
          <w:shd w:val="clear" w:color="auto" w:fill="FFFFFF"/>
        </w:rPr>
        <w:t xml:space="preserve"> виробника товару</w:t>
      </w:r>
      <w:r w:rsidR="005A5159" w:rsidRPr="00E3573F">
        <w:rPr>
          <w:rFonts w:ascii="Times New Roman" w:hAnsi="Times New Roman" w:cs="Times New Roman"/>
          <w:sz w:val="24"/>
          <w:szCs w:val="24"/>
          <w:shd w:val="clear" w:color="auto" w:fill="FFFFFF"/>
        </w:rPr>
        <w:t>.</w:t>
      </w:r>
    </w:p>
    <w:p w14:paraId="531B1D60" w14:textId="77777777" w:rsidR="00DE0C24" w:rsidRPr="00E3573F"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t>- копію медичних книжок персоналу, що буде залучений до виконання умов договору;</w:t>
      </w:r>
    </w:p>
    <w:p w14:paraId="5242DA9E" w14:textId="38CE934D" w:rsidR="00DE0C24" w:rsidRPr="00E3573F"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t>- копію сертифікату/свідоцтва про навчання персоналу згідно НАССР.</w:t>
      </w:r>
    </w:p>
    <w:p w14:paraId="69C9CB11" w14:textId="77777777" w:rsidR="00DE0C24" w:rsidRPr="00E3573F"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t xml:space="preserve">- договір про надання послуг з вивезення побутових відходів </w:t>
      </w:r>
    </w:p>
    <w:p w14:paraId="7D804C0D" w14:textId="67F5BC6C" w:rsidR="00DE0C24" w:rsidRDefault="00DE0C24" w:rsidP="00DE0C24">
      <w:pPr>
        <w:spacing w:after="0" w:line="240" w:lineRule="auto"/>
        <w:ind w:firstLine="567"/>
        <w:jc w:val="both"/>
        <w:rPr>
          <w:rFonts w:ascii="Times New Roman" w:hAnsi="Times New Roman" w:cs="Times New Roman"/>
          <w:sz w:val="24"/>
          <w:szCs w:val="24"/>
          <w:shd w:val="clear" w:color="auto" w:fill="FFFFFF"/>
        </w:rPr>
      </w:pPr>
      <w:r w:rsidRPr="00E3573F">
        <w:rPr>
          <w:rFonts w:ascii="Times New Roman" w:hAnsi="Times New Roman" w:cs="Times New Roman"/>
          <w:sz w:val="24"/>
          <w:szCs w:val="24"/>
          <w:shd w:val="clear" w:color="auto" w:fill="FFFFFF"/>
        </w:rPr>
        <w:t xml:space="preserve">- експлуатаційний дозвіл для </w:t>
      </w:r>
      <w:proofErr w:type="spellStart"/>
      <w:r w:rsidRPr="00E3573F">
        <w:rPr>
          <w:rFonts w:ascii="Times New Roman" w:hAnsi="Times New Roman" w:cs="Times New Roman"/>
          <w:sz w:val="24"/>
          <w:szCs w:val="24"/>
          <w:shd w:val="clear" w:color="auto" w:fill="FFFFFF"/>
        </w:rPr>
        <w:t>потужностей</w:t>
      </w:r>
      <w:proofErr w:type="spellEnd"/>
      <w:r w:rsidRPr="00E3573F">
        <w:rPr>
          <w:rFonts w:ascii="Times New Roman" w:hAnsi="Times New Roman" w:cs="Times New Roman"/>
          <w:sz w:val="24"/>
          <w:szCs w:val="24"/>
          <w:shd w:val="clear" w:color="auto" w:fill="FFFFFF"/>
        </w:rPr>
        <w:t xml:space="preserve"> (об*</w:t>
      </w:r>
      <w:proofErr w:type="spellStart"/>
      <w:r w:rsidRPr="00E3573F">
        <w:rPr>
          <w:rFonts w:ascii="Times New Roman" w:hAnsi="Times New Roman" w:cs="Times New Roman"/>
          <w:sz w:val="24"/>
          <w:szCs w:val="24"/>
          <w:shd w:val="clear" w:color="auto" w:fill="FFFFFF"/>
        </w:rPr>
        <w:t>єктів</w:t>
      </w:r>
      <w:proofErr w:type="spellEnd"/>
      <w:r w:rsidRPr="00E3573F">
        <w:rPr>
          <w:rFonts w:ascii="Times New Roman" w:hAnsi="Times New Roman" w:cs="Times New Roman"/>
          <w:sz w:val="24"/>
          <w:szCs w:val="24"/>
          <w:shd w:val="clear" w:color="auto" w:fill="FFFFFF"/>
        </w:rPr>
        <w:t>) з виробництва, переробки та реалізації харчових продуктів</w:t>
      </w:r>
      <w:r>
        <w:rPr>
          <w:rFonts w:ascii="Times New Roman" w:hAnsi="Times New Roman" w:cs="Times New Roman"/>
          <w:sz w:val="24"/>
          <w:szCs w:val="24"/>
          <w:shd w:val="clear" w:color="auto" w:fill="FFFFFF"/>
        </w:rPr>
        <w:t xml:space="preserve"> </w:t>
      </w:r>
    </w:p>
    <w:p w14:paraId="3DF278BF" w14:textId="31A99278" w:rsidR="00DE0C24" w:rsidRDefault="00DE0C24" w:rsidP="00DE0C24">
      <w:pPr>
        <w:pStyle w:val="ab"/>
        <w:spacing w:before="0" w:beforeAutospacing="0" w:after="0" w:afterAutospacing="0"/>
        <w:ind w:firstLine="567"/>
        <w:jc w:val="both"/>
        <w:rPr>
          <w:bCs/>
          <w:lang w:eastAsia="en-US"/>
        </w:rPr>
      </w:pPr>
      <w:r>
        <w:rPr>
          <w:color w:val="000000"/>
        </w:rPr>
        <w:t>Товар поставляється по замовленню згідно заявок За</w:t>
      </w:r>
      <w:r w:rsidR="0069379F">
        <w:rPr>
          <w:color w:val="000000"/>
        </w:rPr>
        <w:t>мовника. Місце</w:t>
      </w:r>
      <w:r>
        <w:rPr>
          <w:color w:val="000000"/>
        </w:rPr>
        <w:t xml:space="preserve"> постачання товару: </w:t>
      </w:r>
      <w:r w:rsidR="006756CD">
        <w:rPr>
          <w:lang w:eastAsia="ru-RU"/>
        </w:rPr>
        <w:t xml:space="preserve">81726, Україна , Львівська область, с. Жирова, вул. </w:t>
      </w:r>
      <w:proofErr w:type="spellStart"/>
      <w:r w:rsidR="006756CD">
        <w:rPr>
          <w:lang w:eastAsia="ru-RU"/>
        </w:rPr>
        <w:t>Стрийська</w:t>
      </w:r>
      <w:proofErr w:type="spellEnd"/>
      <w:r w:rsidR="006756CD">
        <w:rPr>
          <w:lang w:eastAsia="ru-RU"/>
        </w:rPr>
        <w:t>, 68</w:t>
      </w:r>
      <w:r>
        <w:rPr>
          <w:lang w:eastAsia="ru-RU"/>
        </w:rPr>
        <w:t>.</w:t>
      </w:r>
    </w:p>
    <w:p w14:paraId="1A0F1221" w14:textId="77777777" w:rsidR="00DE0C24" w:rsidRDefault="00DE0C24" w:rsidP="00DE0C24">
      <w:pPr>
        <w:pStyle w:val="ab"/>
        <w:spacing w:before="0" w:beforeAutospacing="0" w:after="0" w:afterAutospacing="0"/>
        <w:ind w:firstLine="567"/>
        <w:jc w:val="both"/>
        <w:rPr>
          <w:bCs/>
        </w:rPr>
      </w:pPr>
      <w:r>
        <w:rPr>
          <w:bCs/>
        </w:rPr>
        <w:t>Перевірка комплектності товару і упаковки здійснюється Замовником у момент отримання такого товару.</w:t>
      </w:r>
    </w:p>
    <w:p w14:paraId="3657E2CF" w14:textId="77777777" w:rsidR="00DE0C24" w:rsidRPr="002B1E9A" w:rsidRDefault="00DE0C24" w:rsidP="0060138C">
      <w:pPr>
        <w:widowControl w:val="0"/>
        <w:spacing w:after="0" w:line="240" w:lineRule="auto"/>
        <w:jc w:val="both"/>
        <w:rPr>
          <w:rFonts w:ascii="Times New Roman" w:eastAsia="Times New Roman" w:hAnsi="Times New Roman"/>
          <w:sz w:val="24"/>
          <w:szCs w:val="24"/>
        </w:rPr>
      </w:pPr>
    </w:p>
    <w:p w14:paraId="7380CC9C" w14:textId="77777777" w:rsidR="0060138C" w:rsidRPr="002B1E9A" w:rsidRDefault="0060138C" w:rsidP="0060138C">
      <w:pPr>
        <w:widowControl w:val="0"/>
        <w:spacing w:after="0" w:line="240" w:lineRule="auto"/>
        <w:jc w:val="both"/>
        <w:rPr>
          <w:rFonts w:ascii="Times New Roman" w:eastAsia="Times New Roman" w:hAnsi="Times New Roman"/>
          <w:sz w:val="24"/>
          <w:szCs w:val="24"/>
        </w:rPr>
      </w:pPr>
    </w:p>
    <w:p w14:paraId="2F3665DF" w14:textId="77777777" w:rsidR="0060138C" w:rsidRPr="002B1E9A" w:rsidRDefault="0060138C" w:rsidP="0060138C">
      <w:pPr>
        <w:widowControl w:val="0"/>
        <w:spacing w:after="0" w:line="240" w:lineRule="auto"/>
        <w:jc w:val="both"/>
        <w:rPr>
          <w:rFonts w:ascii="Times New Roman" w:eastAsia="Calibri" w:hAnsi="Times New Roman"/>
          <w:sz w:val="24"/>
          <w:szCs w:val="24"/>
        </w:rPr>
      </w:pPr>
      <w:r w:rsidRPr="002B1E9A">
        <w:rPr>
          <w:rFonts w:ascii="Times New Roman" w:hAnsi="Times New Roman"/>
          <w:sz w:val="24"/>
          <w:szCs w:val="24"/>
        </w:rPr>
        <w:t>Учасники при поданні пропозиції повинні враховувати норми:</w:t>
      </w:r>
    </w:p>
    <w:p w14:paraId="54EEF6C0" w14:textId="77777777" w:rsidR="0060138C" w:rsidRPr="002B1E9A" w:rsidRDefault="0060138C" w:rsidP="0060138C">
      <w:pPr>
        <w:widowControl w:val="0"/>
        <w:tabs>
          <w:tab w:val="left" w:pos="851"/>
          <w:tab w:val="left" w:pos="1134"/>
        </w:tabs>
        <w:spacing w:after="0" w:line="240" w:lineRule="auto"/>
        <w:ind w:firstLine="851"/>
        <w:jc w:val="both"/>
        <w:rPr>
          <w:rFonts w:ascii="Times New Roman" w:hAnsi="Times New Roman"/>
          <w:sz w:val="24"/>
          <w:szCs w:val="24"/>
        </w:rPr>
      </w:pPr>
      <w:r w:rsidRPr="002B1E9A">
        <w:rPr>
          <w:rFonts w:ascii="Times New Roman" w:hAnsi="Times New Roman"/>
          <w:sz w:val="24"/>
          <w:szCs w:val="24"/>
        </w:rPr>
        <w:t xml:space="preserve">-   </w:t>
      </w:r>
      <w:r w:rsidRPr="002B1E9A">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E7CFC50" w14:textId="77777777" w:rsidR="0060138C" w:rsidRPr="002B1E9A" w:rsidRDefault="0060138C" w:rsidP="0060138C">
      <w:pPr>
        <w:widowControl w:val="0"/>
        <w:tabs>
          <w:tab w:val="left" w:pos="851"/>
          <w:tab w:val="left" w:pos="1134"/>
        </w:tabs>
        <w:spacing w:after="0" w:line="240" w:lineRule="auto"/>
        <w:ind w:firstLine="851"/>
        <w:jc w:val="both"/>
        <w:rPr>
          <w:rFonts w:ascii="Times New Roman" w:hAnsi="Times New Roman"/>
          <w:sz w:val="24"/>
          <w:szCs w:val="24"/>
        </w:rPr>
      </w:pPr>
      <w:r w:rsidRPr="002B1E9A">
        <w:rPr>
          <w:rFonts w:ascii="Times New Roman" w:hAnsi="Times New Roman"/>
          <w:sz w:val="24"/>
          <w:szCs w:val="24"/>
        </w:rPr>
        <w:t xml:space="preserve">-   </w:t>
      </w:r>
      <w:r w:rsidRPr="002B1E9A">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E87DBA" w14:textId="77777777" w:rsidR="0060138C" w:rsidRPr="002B1E9A" w:rsidRDefault="0060138C" w:rsidP="0060138C">
      <w:pPr>
        <w:tabs>
          <w:tab w:val="left" w:pos="851"/>
          <w:tab w:val="left" w:pos="1134"/>
        </w:tabs>
        <w:spacing w:after="0" w:line="240" w:lineRule="auto"/>
        <w:ind w:firstLine="851"/>
        <w:jc w:val="both"/>
        <w:rPr>
          <w:rFonts w:ascii="Times New Roman" w:hAnsi="Times New Roman"/>
          <w:b/>
          <w:sz w:val="24"/>
          <w:szCs w:val="24"/>
        </w:rPr>
      </w:pPr>
      <w:r w:rsidRPr="002B1E9A">
        <w:rPr>
          <w:rFonts w:ascii="Times New Roman" w:hAnsi="Times New Roman"/>
          <w:sz w:val="24"/>
          <w:szCs w:val="24"/>
        </w:rPr>
        <w:t xml:space="preserve">-   </w:t>
      </w:r>
      <w:r w:rsidRPr="002B1E9A">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F24CA39" w14:textId="42E2FE54" w:rsidR="00F22D10" w:rsidRPr="007A32BA" w:rsidRDefault="00F22D10" w:rsidP="0026396D">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lang w:eastAsia="ar-SA"/>
        </w:rPr>
      </w:pPr>
      <w:bookmarkStart w:id="0" w:name="_GoBack"/>
      <w:bookmarkEnd w:id="0"/>
    </w:p>
    <w:sectPr w:rsidR="00F22D10" w:rsidRPr="007A32BA" w:rsidSect="00D04822">
      <w:pgSz w:w="11906" w:h="16838"/>
      <w:pgMar w:top="568" w:right="70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0C4C6282"/>
    <w:multiLevelType w:val="hybridMultilevel"/>
    <w:tmpl w:val="4C967CF0"/>
    <w:lvl w:ilvl="0" w:tplc="E89C28D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4707EF"/>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E35891"/>
    <w:multiLevelType w:val="hybridMultilevel"/>
    <w:tmpl w:val="E96EBCC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3"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9"/>
  </w:num>
  <w:num w:numId="5">
    <w:abstractNumId w:val="32"/>
  </w:num>
  <w:num w:numId="6">
    <w:abstractNumId w:val="25"/>
  </w:num>
  <w:num w:numId="7">
    <w:abstractNumId w:val="34"/>
  </w:num>
  <w:num w:numId="8">
    <w:abstractNumId w:val="10"/>
  </w:num>
  <w:num w:numId="9">
    <w:abstractNumId w:val="11"/>
  </w:num>
  <w:num w:numId="10">
    <w:abstractNumId w:val="12"/>
  </w:num>
  <w:num w:numId="11">
    <w:abstractNumId w:val="7"/>
  </w:num>
  <w:num w:numId="12">
    <w:abstractNumId w:val="18"/>
  </w:num>
  <w:num w:numId="13">
    <w:abstractNumId w:val="31"/>
  </w:num>
  <w:num w:numId="14">
    <w:abstractNumId w:val="9"/>
  </w:num>
  <w:num w:numId="15">
    <w:abstractNumId w:val="16"/>
  </w:num>
  <w:num w:numId="16">
    <w:abstractNumId w:val="20"/>
  </w:num>
  <w:num w:numId="17">
    <w:abstractNumId w:val="19"/>
  </w:num>
  <w:num w:numId="18">
    <w:abstractNumId w:val="15"/>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1"/>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3"/>
  </w:num>
  <w:num w:numId="30">
    <w:abstractNumId w:val="30"/>
  </w:num>
  <w:num w:numId="31">
    <w:abstractNumId w:val="24"/>
  </w:num>
  <w:num w:numId="32">
    <w:abstractNumId w:val="2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96B96"/>
    <w:rsid w:val="000C7DF7"/>
    <w:rsid w:val="0010703C"/>
    <w:rsid w:val="001123D8"/>
    <w:rsid w:val="00114F74"/>
    <w:rsid w:val="001226BA"/>
    <w:rsid w:val="00154259"/>
    <w:rsid w:val="00161F56"/>
    <w:rsid w:val="00176E2F"/>
    <w:rsid w:val="001A254F"/>
    <w:rsid w:val="001D15E6"/>
    <w:rsid w:val="001D2086"/>
    <w:rsid w:val="001E12C9"/>
    <w:rsid w:val="0021051C"/>
    <w:rsid w:val="00211A52"/>
    <w:rsid w:val="00230A86"/>
    <w:rsid w:val="00254314"/>
    <w:rsid w:val="0026396D"/>
    <w:rsid w:val="002B1E9A"/>
    <w:rsid w:val="002B56BF"/>
    <w:rsid w:val="002D1483"/>
    <w:rsid w:val="00311C82"/>
    <w:rsid w:val="00316145"/>
    <w:rsid w:val="0032217C"/>
    <w:rsid w:val="00327DB1"/>
    <w:rsid w:val="00337CD8"/>
    <w:rsid w:val="003438AA"/>
    <w:rsid w:val="00347885"/>
    <w:rsid w:val="003562BE"/>
    <w:rsid w:val="00391D1D"/>
    <w:rsid w:val="00396D50"/>
    <w:rsid w:val="003C2D0D"/>
    <w:rsid w:val="003C4BFA"/>
    <w:rsid w:val="003D0C5D"/>
    <w:rsid w:val="003D13AB"/>
    <w:rsid w:val="003D323A"/>
    <w:rsid w:val="003D63DF"/>
    <w:rsid w:val="003E7F00"/>
    <w:rsid w:val="003F7086"/>
    <w:rsid w:val="004050F6"/>
    <w:rsid w:val="004072AE"/>
    <w:rsid w:val="00426B8D"/>
    <w:rsid w:val="00462C1B"/>
    <w:rsid w:val="004809D1"/>
    <w:rsid w:val="0048692A"/>
    <w:rsid w:val="004F7D1C"/>
    <w:rsid w:val="00500CEB"/>
    <w:rsid w:val="00504A88"/>
    <w:rsid w:val="00511797"/>
    <w:rsid w:val="00537E80"/>
    <w:rsid w:val="00546A9B"/>
    <w:rsid w:val="00575B57"/>
    <w:rsid w:val="0059038B"/>
    <w:rsid w:val="005A4293"/>
    <w:rsid w:val="005A5159"/>
    <w:rsid w:val="005C1F47"/>
    <w:rsid w:val="005C228A"/>
    <w:rsid w:val="0060138C"/>
    <w:rsid w:val="006025BE"/>
    <w:rsid w:val="00626A08"/>
    <w:rsid w:val="0063489A"/>
    <w:rsid w:val="00673D85"/>
    <w:rsid w:val="006756CD"/>
    <w:rsid w:val="00676CA8"/>
    <w:rsid w:val="00681D97"/>
    <w:rsid w:val="0069379F"/>
    <w:rsid w:val="006D22F0"/>
    <w:rsid w:val="006F5735"/>
    <w:rsid w:val="00726EB6"/>
    <w:rsid w:val="007369C3"/>
    <w:rsid w:val="00756B33"/>
    <w:rsid w:val="0079137E"/>
    <w:rsid w:val="007A32BA"/>
    <w:rsid w:val="007A56F0"/>
    <w:rsid w:val="007A6290"/>
    <w:rsid w:val="007B0EB0"/>
    <w:rsid w:val="007E279B"/>
    <w:rsid w:val="007F5EB1"/>
    <w:rsid w:val="00820E1A"/>
    <w:rsid w:val="00841D4C"/>
    <w:rsid w:val="00861538"/>
    <w:rsid w:val="00862B3F"/>
    <w:rsid w:val="00885C84"/>
    <w:rsid w:val="008A6C51"/>
    <w:rsid w:val="008D7E4F"/>
    <w:rsid w:val="008E3840"/>
    <w:rsid w:val="00903BE0"/>
    <w:rsid w:val="00904EC8"/>
    <w:rsid w:val="00920A5E"/>
    <w:rsid w:val="0097600D"/>
    <w:rsid w:val="009A690D"/>
    <w:rsid w:val="009C1F9B"/>
    <w:rsid w:val="009D684F"/>
    <w:rsid w:val="009E2297"/>
    <w:rsid w:val="00A04BAA"/>
    <w:rsid w:val="00A21D76"/>
    <w:rsid w:val="00A42568"/>
    <w:rsid w:val="00A679D1"/>
    <w:rsid w:val="00A70B64"/>
    <w:rsid w:val="00A86898"/>
    <w:rsid w:val="00AD0521"/>
    <w:rsid w:val="00AD06F3"/>
    <w:rsid w:val="00AD2EB4"/>
    <w:rsid w:val="00B161D5"/>
    <w:rsid w:val="00B5672C"/>
    <w:rsid w:val="00B63D17"/>
    <w:rsid w:val="00B65980"/>
    <w:rsid w:val="00B806C0"/>
    <w:rsid w:val="00B86A3A"/>
    <w:rsid w:val="00B970EA"/>
    <w:rsid w:val="00BC6ABF"/>
    <w:rsid w:val="00BC6B33"/>
    <w:rsid w:val="00BE79B6"/>
    <w:rsid w:val="00C50E63"/>
    <w:rsid w:val="00C606A8"/>
    <w:rsid w:val="00C6145D"/>
    <w:rsid w:val="00CB4387"/>
    <w:rsid w:val="00CE6D9C"/>
    <w:rsid w:val="00D04822"/>
    <w:rsid w:val="00D100B4"/>
    <w:rsid w:val="00D25D98"/>
    <w:rsid w:val="00D27D87"/>
    <w:rsid w:val="00D426E2"/>
    <w:rsid w:val="00D45823"/>
    <w:rsid w:val="00D47531"/>
    <w:rsid w:val="00D55E06"/>
    <w:rsid w:val="00D72C17"/>
    <w:rsid w:val="00D741B3"/>
    <w:rsid w:val="00D8126B"/>
    <w:rsid w:val="00D85017"/>
    <w:rsid w:val="00D85ABF"/>
    <w:rsid w:val="00DB10D1"/>
    <w:rsid w:val="00DC10D6"/>
    <w:rsid w:val="00DC3B31"/>
    <w:rsid w:val="00DD4CAD"/>
    <w:rsid w:val="00DE0C24"/>
    <w:rsid w:val="00DF0098"/>
    <w:rsid w:val="00E02810"/>
    <w:rsid w:val="00E11604"/>
    <w:rsid w:val="00E11C35"/>
    <w:rsid w:val="00E154F5"/>
    <w:rsid w:val="00E30925"/>
    <w:rsid w:val="00E3573F"/>
    <w:rsid w:val="00E44149"/>
    <w:rsid w:val="00E460D0"/>
    <w:rsid w:val="00E524C1"/>
    <w:rsid w:val="00E86FBD"/>
    <w:rsid w:val="00E87699"/>
    <w:rsid w:val="00EA18A8"/>
    <w:rsid w:val="00EA45D7"/>
    <w:rsid w:val="00EF6B46"/>
    <w:rsid w:val="00F0027F"/>
    <w:rsid w:val="00F17818"/>
    <w:rsid w:val="00F22D10"/>
    <w:rsid w:val="00F81F1D"/>
    <w:rsid w:val="00F82D65"/>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F36F"/>
  <w15:docId w15:val="{3603A726-8C1E-4527-8974-AF830DD5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paragraph" w:styleId="1">
    <w:name w:val="heading 1"/>
    <w:basedOn w:val="a"/>
    <w:next w:val="a"/>
    <w:link w:val="10"/>
    <w:uiPriority w:val="99"/>
    <w:qFormat/>
    <w:rsid w:val="0060138C"/>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4BAA"/>
    <w:pPr>
      <w:ind w:left="720"/>
      <w:contextualSpacing/>
    </w:pPr>
  </w:style>
  <w:style w:type="paragraph" w:customStyle="1" w:styleId="a5">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6">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7">
    <w:name w:val="Balloon Text"/>
    <w:basedOn w:val="a"/>
    <w:link w:val="a8"/>
    <w:uiPriority w:val="99"/>
    <w:semiHidden/>
    <w:unhideWhenUsed/>
    <w:rsid w:val="00E15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1">
    <w:name w:val="Основной шрифт абзаца1"/>
    <w:rsid w:val="00C6145D"/>
  </w:style>
  <w:style w:type="paragraph" w:styleId="a9">
    <w:name w:val="Body Text"/>
    <w:link w:val="aa"/>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a">
    <w:name w:val="Основной текст Знак"/>
    <w:basedOn w:val="a0"/>
    <w:link w:val="a9"/>
    <w:rsid w:val="00F22D10"/>
    <w:rPr>
      <w:rFonts w:ascii="Helvetica Neue" w:eastAsia="Arial Unicode MS" w:hAnsi="Helvetica Neue" w:cs="Arial Unicode MS"/>
      <w:color w:val="000000"/>
      <w:u w:color="000000"/>
      <w:bdr w:val="nil"/>
      <w:lang w:val="en-US" w:eastAsia="ru-RU"/>
    </w:rPr>
  </w:style>
  <w:style w:type="character" w:customStyle="1" w:styleId="10">
    <w:name w:val="Заголовок 1 Знак"/>
    <w:basedOn w:val="a0"/>
    <w:link w:val="1"/>
    <w:uiPriority w:val="99"/>
    <w:rsid w:val="0060138C"/>
    <w:rPr>
      <w:rFonts w:ascii="Calibri Light" w:eastAsia="Times New Roman" w:hAnsi="Calibri Light" w:cs="Times New Roman"/>
      <w:color w:val="2F5496"/>
      <w:sz w:val="32"/>
      <w:szCs w:val="32"/>
      <w:lang w:eastAsia="ru-RU"/>
    </w:rPr>
  </w:style>
  <w:style w:type="character" w:customStyle="1" w:styleId="a4">
    <w:name w:val="Абзац списка Знак"/>
    <w:link w:val="a3"/>
    <w:uiPriority w:val="34"/>
    <w:locked/>
    <w:rsid w:val="0060138C"/>
  </w:style>
  <w:style w:type="paragraph" w:customStyle="1" w:styleId="12">
    <w:name w:val="Звичайний1"/>
    <w:rsid w:val="00841D4C"/>
    <w:pPr>
      <w:spacing w:after="0"/>
    </w:pPr>
    <w:rPr>
      <w:rFonts w:ascii="Arial" w:eastAsia="Times New Roman" w:hAnsi="Arial" w:cs="Arial"/>
      <w:color w:val="000000"/>
      <w:szCs w:val="20"/>
      <w:lang w:val="en-US"/>
    </w:rPr>
  </w:style>
  <w:style w:type="character" w:customStyle="1" w:styleId="ListParagraphChar">
    <w:name w:val="List Paragraph Char"/>
    <w:link w:val="13"/>
    <w:locked/>
    <w:rsid w:val="00841D4C"/>
    <w:rPr>
      <w:rFonts w:ascii="Calibri" w:eastAsia="Times New Roman" w:hAnsi="Calibri" w:cs="Times New Roman"/>
    </w:rPr>
  </w:style>
  <w:style w:type="paragraph" w:customStyle="1" w:styleId="13">
    <w:name w:val="Абзац списку1"/>
    <w:basedOn w:val="a"/>
    <w:link w:val="ListParagraphChar"/>
    <w:qFormat/>
    <w:rsid w:val="00841D4C"/>
    <w:pPr>
      <w:ind w:left="720"/>
      <w:contextualSpacing/>
    </w:pPr>
    <w:rPr>
      <w:rFonts w:ascii="Calibri" w:eastAsia="Times New Roman" w:hAnsi="Calibri" w:cs="Times New Roman"/>
    </w:rPr>
  </w:style>
  <w:style w:type="character" w:customStyle="1" w:styleId="2">
    <w:name w:val="Основной текст (2)"/>
    <w:rsid w:val="00841D4C"/>
    <w:rPr>
      <w:rFonts w:ascii="Times New Roman" w:hAnsi="Times New Roman" w:cs="Times New Roman" w:hint="default"/>
      <w:strike w:val="0"/>
      <w:dstrike w:val="0"/>
      <w:color w:val="000000"/>
      <w:spacing w:val="0"/>
      <w:w w:val="100"/>
      <w:position w:val="0"/>
      <w:sz w:val="24"/>
      <w:u w:val="none"/>
      <w:effect w:val="none"/>
      <w:lang w:val="uk-UA" w:eastAsia="uk-UA"/>
    </w:rPr>
  </w:style>
  <w:style w:type="paragraph" w:styleId="ab">
    <w:name w:val="Normal (Web)"/>
    <w:aliases w:val="Обычный (Web)"/>
    <w:basedOn w:val="a"/>
    <w:link w:val="ac"/>
    <w:unhideWhenUsed/>
    <w:rsid w:val="00DE0C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Обычный (Web) Знак"/>
    <w:link w:val="ab"/>
    <w:locked/>
    <w:rsid w:val="00DE0C24"/>
    <w:rPr>
      <w:rFonts w:ascii="Times New Roman" w:eastAsia="Times New Roman" w:hAnsi="Times New Roman" w:cs="Times New Roman"/>
      <w:sz w:val="24"/>
      <w:szCs w:val="24"/>
      <w:lang w:eastAsia="uk-UA"/>
    </w:rPr>
  </w:style>
  <w:style w:type="character" w:customStyle="1" w:styleId="2105pt">
    <w:name w:val="Основний текст (2) + 10;5 pt"/>
    <w:basedOn w:val="a0"/>
    <w:rsid w:val="00DE0C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464883823">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 w:id="21075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B8BE9-6B38-4E0C-BA41-62437B24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5940</Words>
  <Characters>3386</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124</cp:revision>
  <dcterms:created xsi:type="dcterms:W3CDTF">2016-12-13T19:24:00Z</dcterms:created>
  <dcterms:modified xsi:type="dcterms:W3CDTF">2024-01-18T16:05:00Z</dcterms:modified>
</cp:coreProperties>
</file>