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6EC" w:rsidRPr="001D76EC" w:rsidRDefault="001D76EC" w:rsidP="001D76EC">
      <w:pPr>
        <w:spacing w:after="0" w:line="240" w:lineRule="auto"/>
        <w:ind w:left="5660"/>
        <w:jc w:val="right"/>
        <w:rPr>
          <w:rFonts w:ascii="Times New Roman" w:eastAsia="Times New Roman" w:hAnsi="Times New Roman" w:cs="Times New Roman"/>
          <w:sz w:val="24"/>
          <w:szCs w:val="24"/>
          <w:lang w:val="uk-UA" w:eastAsia="ru-RU"/>
        </w:rPr>
      </w:pPr>
      <w:r w:rsidRPr="001D76EC">
        <w:rPr>
          <w:rFonts w:ascii="Times New Roman" w:eastAsia="Times New Roman" w:hAnsi="Times New Roman" w:cs="Times New Roman"/>
          <w:b/>
          <w:bCs/>
          <w:color w:val="000000"/>
          <w:sz w:val="24"/>
          <w:szCs w:val="24"/>
          <w:lang w:val="uk-UA" w:eastAsia="ru-RU"/>
        </w:rPr>
        <w:t>ДОДАТОК  2</w:t>
      </w:r>
    </w:p>
    <w:p w:rsidR="001D76EC" w:rsidRPr="001D76EC" w:rsidRDefault="001D76EC" w:rsidP="001D76EC">
      <w:pPr>
        <w:spacing w:after="0" w:line="240" w:lineRule="auto"/>
        <w:ind w:left="5660"/>
        <w:jc w:val="right"/>
        <w:rPr>
          <w:rFonts w:ascii="Times New Roman" w:eastAsia="Times New Roman" w:hAnsi="Times New Roman" w:cs="Times New Roman"/>
          <w:sz w:val="24"/>
          <w:szCs w:val="24"/>
          <w:lang w:val="uk-UA" w:eastAsia="ru-RU"/>
        </w:rPr>
      </w:pPr>
      <w:r w:rsidRPr="001D76EC">
        <w:rPr>
          <w:rFonts w:ascii="Times New Roman" w:eastAsia="Times New Roman" w:hAnsi="Times New Roman" w:cs="Times New Roman"/>
          <w:i/>
          <w:iCs/>
          <w:color w:val="000000"/>
          <w:sz w:val="24"/>
          <w:szCs w:val="24"/>
          <w:lang w:val="uk-UA" w:eastAsia="ru-RU"/>
        </w:rPr>
        <w:t>до тендерної документації</w:t>
      </w:r>
      <w:r w:rsidRPr="001D76EC">
        <w:rPr>
          <w:rFonts w:ascii="Times New Roman" w:eastAsia="Times New Roman" w:hAnsi="Times New Roman" w:cs="Times New Roman"/>
          <w:color w:val="000000"/>
          <w:sz w:val="24"/>
          <w:szCs w:val="24"/>
          <w:lang w:val="uk-UA" w:eastAsia="ru-RU"/>
        </w:rPr>
        <w:t> </w:t>
      </w:r>
    </w:p>
    <w:p w:rsidR="001D76EC" w:rsidRPr="001D76EC" w:rsidRDefault="001D76EC" w:rsidP="001D76EC">
      <w:pPr>
        <w:spacing w:after="0" w:line="240" w:lineRule="auto"/>
        <w:jc w:val="center"/>
        <w:rPr>
          <w:rFonts w:ascii="Times New Roman" w:eastAsia="Times New Roman" w:hAnsi="Times New Roman" w:cs="Times New Roman"/>
          <w:b/>
          <w:bCs/>
          <w:i/>
          <w:iCs/>
          <w:color w:val="000000"/>
          <w:sz w:val="24"/>
          <w:szCs w:val="24"/>
          <w:shd w:val="clear" w:color="auto" w:fill="FFFFFF"/>
          <w:lang w:val="uk-UA" w:eastAsia="ru-RU"/>
        </w:rPr>
      </w:pPr>
    </w:p>
    <w:p w:rsidR="001D76EC" w:rsidRPr="001D76EC" w:rsidRDefault="001D76EC" w:rsidP="001D76EC">
      <w:pPr>
        <w:spacing w:after="0" w:line="240" w:lineRule="auto"/>
        <w:jc w:val="center"/>
        <w:rPr>
          <w:rFonts w:ascii="Times New Roman" w:eastAsia="Times New Roman" w:hAnsi="Times New Roman" w:cs="Times New Roman"/>
          <w:sz w:val="24"/>
          <w:szCs w:val="24"/>
          <w:lang w:val="uk-UA" w:eastAsia="ru-RU"/>
        </w:rPr>
      </w:pPr>
      <w:r w:rsidRPr="001D76EC">
        <w:rPr>
          <w:rFonts w:ascii="Times New Roman" w:eastAsia="Times New Roman" w:hAnsi="Times New Roman" w:cs="Times New Roman"/>
          <w:b/>
          <w:bCs/>
          <w:i/>
          <w:iCs/>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D76EC" w:rsidRPr="001D76EC" w:rsidRDefault="001D76EC" w:rsidP="001D76EC">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p>
    <w:p w:rsidR="001D76EC" w:rsidRPr="001D76EC" w:rsidRDefault="001D76EC" w:rsidP="001D76EC">
      <w:pPr>
        <w:spacing w:after="0" w:line="240" w:lineRule="auto"/>
        <w:jc w:val="center"/>
        <w:rPr>
          <w:rFonts w:ascii="Times New Roman" w:eastAsia="Times New Roman" w:hAnsi="Times New Roman" w:cs="Times New Roman"/>
          <w:b/>
          <w:bCs/>
          <w:i/>
          <w:iCs/>
          <w:sz w:val="24"/>
          <w:szCs w:val="24"/>
          <w:shd w:val="clear" w:color="auto" w:fill="FFFFFF"/>
          <w:lang w:val="uk-UA" w:eastAsia="ru-RU"/>
        </w:rPr>
      </w:pPr>
      <w:r w:rsidRPr="001D76EC">
        <w:rPr>
          <w:rFonts w:ascii="Times New Roman" w:eastAsia="Times New Roman" w:hAnsi="Times New Roman" w:cs="Times New Roman"/>
          <w:b/>
          <w:bCs/>
          <w:i/>
          <w:iCs/>
          <w:sz w:val="24"/>
          <w:szCs w:val="24"/>
          <w:shd w:val="clear" w:color="auto" w:fill="FFFFFF"/>
          <w:lang w:val="uk-UA" w:eastAsia="ru-RU"/>
        </w:rPr>
        <w:t>ТЕХНІЧНА СПЕЦИФІКАЦІЯ</w:t>
      </w:r>
    </w:p>
    <w:p w:rsidR="001D76EC" w:rsidRPr="00F8744E" w:rsidRDefault="00F8744E" w:rsidP="001D76EC">
      <w:pPr>
        <w:spacing w:after="0" w:line="240" w:lineRule="auto"/>
        <w:jc w:val="center"/>
        <w:rPr>
          <w:rFonts w:ascii="Times New Roman" w:eastAsia="Times New Roman" w:hAnsi="Times New Roman" w:cs="Times New Roman"/>
          <w:b/>
          <w:bCs/>
          <w:iCs/>
          <w:sz w:val="24"/>
          <w:szCs w:val="24"/>
          <w:shd w:val="clear" w:color="auto" w:fill="FFFFFF"/>
          <w:lang w:val="uk-UA" w:eastAsia="ru-RU"/>
        </w:rPr>
      </w:pPr>
      <w:r>
        <w:rPr>
          <w:rFonts w:ascii="Times New Roman" w:eastAsia="Times New Roman" w:hAnsi="Times New Roman" w:cs="Times New Roman"/>
          <w:b/>
          <w:bCs/>
          <w:iCs/>
          <w:sz w:val="24"/>
          <w:szCs w:val="24"/>
          <w:shd w:val="clear" w:color="auto" w:fill="FFFFFF"/>
          <w:lang w:val="uk-UA" w:eastAsia="ru-RU"/>
        </w:rPr>
        <w:t>(Нова редакція)</w:t>
      </w:r>
    </w:p>
    <w:p w:rsidR="001D76EC" w:rsidRPr="001D76EC" w:rsidRDefault="001D76EC" w:rsidP="001D76EC">
      <w:pPr>
        <w:spacing w:after="0" w:line="240" w:lineRule="auto"/>
        <w:ind w:firstLine="567"/>
        <w:contextualSpacing/>
        <w:jc w:val="both"/>
        <w:rPr>
          <w:rFonts w:ascii="Times New Roman" w:eastAsia="Times New Roman" w:hAnsi="Times New Roman" w:cs="Times New Roman"/>
          <w:sz w:val="24"/>
          <w:szCs w:val="24"/>
          <w:lang w:val="uk-UA" w:eastAsia="ru-RU"/>
        </w:rPr>
      </w:pPr>
      <w:r w:rsidRPr="001D76EC">
        <w:rPr>
          <w:rFonts w:ascii="Times New Roman" w:eastAsia="Times New Roman" w:hAnsi="Times New Roman" w:cs="Times New Roman"/>
          <w:sz w:val="24"/>
          <w:szCs w:val="24"/>
          <w:lang w:val="uk-UA" w:eastAsia="ru-RU"/>
        </w:rPr>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D76EC" w:rsidRPr="001D76EC" w:rsidRDefault="001D76EC" w:rsidP="001D76EC">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1D76EC">
        <w:rPr>
          <w:rFonts w:ascii="Times New Roman" w:eastAsia="Times New Roman" w:hAnsi="Times New Roman" w:cs="Times New Roman"/>
          <w:b/>
          <w:bCs/>
          <w:sz w:val="24"/>
          <w:szCs w:val="24"/>
          <w:lang w:val="uk-UA" w:eastAsia="ru-RU"/>
        </w:rPr>
        <w:t>Фактом подання тендерної пропозиції учасник підтверджує відповідність своєї пропозиції</w:t>
      </w:r>
      <w:r w:rsidRPr="001D76EC">
        <w:rPr>
          <w:rFonts w:ascii="Times New Roman" w:eastAsia="Times New Roman" w:hAnsi="Times New Roman" w:cs="Times New Roman"/>
          <w:sz w:val="24"/>
          <w:szCs w:val="24"/>
          <w:lang w:val="uk-UA" w:eastAsia="ru-RU"/>
        </w:rPr>
        <w:t xml:space="preserve"> </w:t>
      </w:r>
      <w:r w:rsidRPr="001D76EC">
        <w:rPr>
          <w:rFonts w:ascii="Times New Roman" w:eastAsia="Times New Roman" w:hAnsi="Times New Roman" w:cs="Times New Roman"/>
          <w:b/>
          <w:bCs/>
          <w:sz w:val="24"/>
          <w:szCs w:val="24"/>
          <w:lang w:val="uk-UA" w:eastAsia="ru-RU"/>
        </w:rPr>
        <w:t>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1D76EC" w:rsidRPr="001D76EC" w:rsidRDefault="001D76EC" w:rsidP="001D76EC">
      <w:pPr>
        <w:spacing w:after="0" w:line="240" w:lineRule="auto"/>
        <w:ind w:firstLine="567"/>
        <w:contextualSpacing/>
        <w:jc w:val="both"/>
        <w:rPr>
          <w:rFonts w:ascii="Times New Roman" w:eastAsia="Calibri" w:hAnsi="Times New Roman" w:cs="Times New Roman"/>
          <w:i/>
          <w:iCs/>
          <w:sz w:val="24"/>
          <w:szCs w:val="24"/>
          <w:lang w:val="uk-UA"/>
        </w:rPr>
      </w:pPr>
      <w:r w:rsidRPr="001D76EC">
        <w:rPr>
          <w:rFonts w:ascii="Times New Roman" w:eastAsia="Times New Roman" w:hAnsi="Times New Roman" w:cs="Times New Roman"/>
          <w:i/>
          <w:iCs/>
          <w:sz w:val="24"/>
          <w:szCs w:val="24"/>
          <w:shd w:val="clear" w:color="auto" w:fill="FFFFFF"/>
          <w:lang w:val="uk-UA" w:eastAsia="ru-RU"/>
        </w:rPr>
        <w:t>В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1D76EC" w:rsidRPr="001D76EC" w:rsidRDefault="001D76EC" w:rsidP="001D76EC">
      <w:pPr>
        <w:spacing w:after="0" w:line="240" w:lineRule="auto"/>
        <w:ind w:firstLine="567"/>
        <w:contextualSpacing/>
        <w:jc w:val="both"/>
        <w:rPr>
          <w:rFonts w:ascii="Times New Roman" w:eastAsia="Times New Roman" w:hAnsi="Times New Roman" w:cs="Times New Roman"/>
          <w:i/>
          <w:iCs/>
          <w:sz w:val="24"/>
          <w:szCs w:val="24"/>
          <w:shd w:val="clear" w:color="auto" w:fill="FFFFFF"/>
          <w:lang w:val="uk-UA" w:eastAsia="ru-RU"/>
        </w:rPr>
      </w:pPr>
      <w:r w:rsidRPr="001D76EC">
        <w:rPr>
          <w:rFonts w:ascii="Times New Roman" w:eastAsia="Times New Roman" w:hAnsi="Times New Roman" w:cs="Times New Roman"/>
          <w:i/>
          <w:iCs/>
          <w:sz w:val="24"/>
          <w:szCs w:val="24"/>
          <w:shd w:val="clear" w:color="auto" w:fill="FFFFFF"/>
          <w:lang w:val="uk-UA" w:eastAsia="ru-RU"/>
        </w:rPr>
        <w:t>В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1D76EC" w:rsidRPr="001D76EC" w:rsidRDefault="001D76EC" w:rsidP="001D76EC">
      <w:pPr>
        <w:shd w:val="clear" w:color="auto" w:fill="FFFFFF"/>
        <w:spacing w:after="0" w:line="240" w:lineRule="auto"/>
        <w:ind w:firstLine="567"/>
        <w:contextualSpacing/>
        <w:jc w:val="both"/>
        <w:rPr>
          <w:rFonts w:ascii="Times New Roman" w:eastAsia="Times New Roman" w:hAnsi="Times New Roman" w:cs="Times New Roman"/>
          <w:sz w:val="24"/>
          <w:szCs w:val="24"/>
          <w:lang w:val="uk-UA" w:eastAsia="ru-RU"/>
        </w:rPr>
      </w:pPr>
      <w:r w:rsidRPr="001D76EC">
        <w:rPr>
          <w:rFonts w:ascii="Times New Roman" w:eastAsia="Times New Roman" w:hAnsi="Times New Roman" w:cs="Times New Roman"/>
          <w:sz w:val="24"/>
          <w:szCs w:val="24"/>
          <w:lang w:val="uk-UA"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1D76EC" w:rsidRPr="001D76EC" w:rsidRDefault="001D76EC" w:rsidP="001D76EC">
      <w:pPr>
        <w:spacing w:after="0" w:line="240" w:lineRule="auto"/>
        <w:rPr>
          <w:rFonts w:ascii="Times New Roman" w:eastAsia="Calibri" w:hAnsi="Times New Roman" w:cs="Times New Roman"/>
          <w:b/>
          <w:sz w:val="24"/>
          <w:szCs w:val="24"/>
          <w:lang w:val="uk-UA"/>
        </w:rPr>
      </w:pPr>
    </w:p>
    <w:tbl>
      <w:tblPr>
        <w:tblW w:w="10207"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6"/>
        <w:gridCol w:w="8291"/>
      </w:tblGrid>
      <w:tr w:rsidR="001D76EC" w:rsidRPr="001D76EC" w:rsidTr="00F60312">
        <w:trPr>
          <w:trHeight w:val="733"/>
        </w:trPr>
        <w:tc>
          <w:tcPr>
            <w:tcW w:w="2836" w:type="dxa"/>
            <w:tcBorders>
              <w:top w:val="single" w:sz="6" w:space="0" w:color="auto"/>
              <w:left w:val="single" w:sz="6" w:space="0" w:color="auto"/>
              <w:bottom w:val="single" w:sz="6" w:space="0" w:color="auto"/>
              <w:right w:val="single" w:sz="6" w:space="0" w:color="auto"/>
            </w:tcBorders>
            <w:vAlign w:val="center"/>
          </w:tcPr>
          <w:p w:rsidR="001D76EC" w:rsidRPr="001D76EC" w:rsidRDefault="001D76EC" w:rsidP="001D76EC">
            <w:pPr>
              <w:spacing w:after="0" w:line="240" w:lineRule="auto"/>
              <w:rPr>
                <w:rFonts w:ascii="Times New Roman" w:eastAsia="Calibri" w:hAnsi="Times New Roman" w:cs="Times New Roman"/>
                <w:sz w:val="24"/>
                <w:szCs w:val="24"/>
                <w:lang w:val="uk-UA" w:eastAsia="ru-RU"/>
              </w:rPr>
            </w:pPr>
            <w:r w:rsidRPr="001D76EC">
              <w:rPr>
                <w:rFonts w:ascii="Times New Roman" w:eastAsia="Calibri" w:hAnsi="Times New Roman" w:cs="Times New Roman"/>
                <w:sz w:val="24"/>
                <w:szCs w:val="24"/>
                <w:lang w:val="uk-UA"/>
              </w:rPr>
              <w:t xml:space="preserve">Конкретне </w:t>
            </w:r>
            <w:r w:rsidRPr="001D76EC">
              <w:rPr>
                <w:rFonts w:ascii="Times New Roman" w:eastAsia="Calibri" w:hAnsi="Times New Roman" w:cs="Times New Roman"/>
                <w:sz w:val="24"/>
                <w:szCs w:val="24"/>
                <w:lang w:val="uk-UA" w:eastAsia="uk-UA"/>
              </w:rPr>
              <w:t>найменування закупівлі</w:t>
            </w:r>
          </w:p>
        </w:tc>
        <w:tc>
          <w:tcPr>
            <w:tcW w:w="7371" w:type="dxa"/>
            <w:tcBorders>
              <w:top w:val="single" w:sz="6" w:space="0" w:color="auto"/>
              <w:left w:val="single" w:sz="6" w:space="0" w:color="auto"/>
              <w:bottom w:val="single" w:sz="6" w:space="0" w:color="auto"/>
              <w:right w:val="single" w:sz="6" w:space="0" w:color="auto"/>
            </w:tcBorders>
            <w:vAlign w:val="center"/>
          </w:tcPr>
          <w:p w:rsidR="001D76EC" w:rsidRPr="001D76EC" w:rsidRDefault="001D76EC" w:rsidP="001D76EC">
            <w:pPr>
              <w:spacing w:after="0" w:line="240" w:lineRule="auto"/>
              <w:rPr>
                <w:rFonts w:ascii="Times New Roman" w:eastAsia="Calibri" w:hAnsi="Times New Roman" w:cs="Times New Roman"/>
                <w:sz w:val="24"/>
                <w:szCs w:val="24"/>
                <w:lang w:val="uk-UA"/>
              </w:rPr>
            </w:pPr>
            <w:r w:rsidRPr="001D76EC">
              <w:rPr>
                <w:rFonts w:ascii="Times New Roman" w:eastAsia="Calibri" w:hAnsi="Times New Roman" w:cs="Times New Roman"/>
                <w:noProof/>
                <w:color w:val="000000"/>
                <w:sz w:val="24"/>
                <w:szCs w:val="24"/>
                <w:lang w:val="uk-UA" w:eastAsia="ru-RU"/>
              </w:rPr>
              <w:t>Електрична енергія</w:t>
            </w:r>
          </w:p>
        </w:tc>
      </w:tr>
      <w:tr w:rsidR="001D76EC" w:rsidRPr="001D76EC" w:rsidTr="00F6031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1D76EC" w:rsidRPr="001D76EC" w:rsidRDefault="001D76EC" w:rsidP="001D76EC">
            <w:pPr>
              <w:spacing w:after="0" w:line="240" w:lineRule="auto"/>
              <w:rPr>
                <w:rFonts w:ascii="Times New Roman" w:eastAsia="Calibri" w:hAnsi="Times New Roman" w:cs="Times New Roman"/>
                <w:sz w:val="24"/>
                <w:szCs w:val="24"/>
                <w:lang w:val="uk-UA" w:eastAsia="ru-RU"/>
              </w:rPr>
            </w:pPr>
            <w:r w:rsidRPr="001D76EC">
              <w:rPr>
                <w:rFonts w:ascii="Times New Roman" w:eastAsia="Calibri" w:hAnsi="Times New Roman" w:cs="Times New Roman"/>
                <w:sz w:val="24"/>
                <w:szCs w:val="24"/>
                <w:lang w:val="uk-UA" w:eastAsia="ru-RU"/>
              </w:rPr>
              <w:t>Код ДК 021:2015</w:t>
            </w:r>
          </w:p>
        </w:tc>
        <w:tc>
          <w:tcPr>
            <w:tcW w:w="7371" w:type="dxa"/>
            <w:tcBorders>
              <w:top w:val="single" w:sz="6" w:space="0" w:color="auto"/>
              <w:left w:val="single" w:sz="6" w:space="0" w:color="auto"/>
              <w:bottom w:val="single" w:sz="6" w:space="0" w:color="auto"/>
              <w:right w:val="single" w:sz="6" w:space="0" w:color="auto"/>
            </w:tcBorders>
            <w:vAlign w:val="center"/>
          </w:tcPr>
          <w:p w:rsidR="001D76EC" w:rsidRPr="001D76EC" w:rsidRDefault="001D76EC" w:rsidP="001D76EC">
            <w:pPr>
              <w:spacing w:after="0" w:line="240" w:lineRule="auto"/>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09310000-5 «Електрична енергія» (Електрична енергія)</w:t>
            </w:r>
          </w:p>
        </w:tc>
      </w:tr>
      <w:tr w:rsidR="001D76EC" w:rsidRPr="001D76EC" w:rsidTr="00F60312">
        <w:trPr>
          <w:trHeight w:val="552"/>
        </w:trPr>
        <w:tc>
          <w:tcPr>
            <w:tcW w:w="2836" w:type="dxa"/>
            <w:tcBorders>
              <w:top w:val="single" w:sz="6" w:space="0" w:color="auto"/>
              <w:left w:val="single" w:sz="6" w:space="0" w:color="auto"/>
              <w:bottom w:val="single" w:sz="6" w:space="0" w:color="auto"/>
              <w:right w:val="single" w:sz="6" w:space="0" w:color="auto"/>
            </w:tcBorders>
            <w:vAlign w:val="center"/>
          </w:tcPr>
          <w:p w:rsidR="001D76EC" w:rsidRPr="001D76EC" w:rsidRDefault="001D76EC" w:rsidP="001D76EC">
            <w:pPr>
              <w:spacing w:after="0" w:line="240" w:lineRule="auto"/>
              <w:rPr>
                <w:rFonts w:ascii="Times New Roman" w:eastAsia="Calibri" w:hAnsi="Times New Roman" w:cs="Times New Roman"/>
                <w:sz w:val="24"/>
                <w:szCs w:val="24"/>
                <w:lang w:val="uk-UA" w:eastAsia="ru-RU"/>
              </w:rPr>
            </w:pPr>
            <w:r w:rsidRPr="001D76EC">
              <w:rPr>
                <w:rFonts w:ascii="Times New Roman" w:eastAsia="Calibri" w:hAnsi="Times New Roman" w:cs="Times New Roman"/>
                <w:sz w:val="24"/>
                <w:szCs w:val="24"/>
                <w:lang w:val="uk-UA"/>
              </w:rPr>
              <w:t>Місце поставки товару</w:t>
            </w:r>
          </w:p>
        </w:tc>
        <w:tc>
          <w:tcPr>
            <w:tcW w:w="7371" w:type="dxa"/>
            <w:tcBorders>
              <w:top w:val="single" w:sz="6" w:space="0" w:color="auto"/>
              <w:left w:val="single" w:sz="6" w:space="0" w:color="auto"/>
              <w:bottom w:val="single" w:sz="6" w:space="0" w:color="auto"/>
              <w:right w:val="single" w:sz="6" w:space="0" w:color="auto"/>
            </w:tcBorders>
          </w:tcPr>
          <w:tbl>
            <w:tblPr>
              <w:tblpPr w:leftFromText="180" w:rightFromText="180" w:vertAnchor="text" w:tblpY="1"/>
              <w:tblOverlap w:val="never"/>
              <w:tblW w:w="8075" w:type="dxa"/>
              <w:tblLook w:val="00A0" w:firstRow="1" w:lastRow="0" w:firstColumn="1" w:lastColumn="0" w:noHBand="0" w:noVBand="0"/>
            </w:tblPr>
            <w:tblGrid>
              <w:gridCol w:w="534"/>
              <w:gridCol w:w="7541"/>
            </w:tblGrid>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 М.Приймаченко, 16</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область,м. Краматорськ, вул. Центральна, 1 (філія-2)</w:t>
                  </w:r>
                </w:p>
              </w:tc>
            </w:tr>
            <w:tr w:rsidR="001D76EC" w:rsidRPr="001D76EC" w:rsidTr="00F60312">
              <w:trPr>
                <w:trHeight w:val="357"/>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3</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 Краматорськ,вул. Н. Курченко, 26  (філія-3)</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4</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 Краматорськ, вул. Українська, 81, смт Малотаранівка (філія-5)</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5</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 Краматорськ, вул. Волгодонська, 26, смт Шабельківка (філія-6)</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6</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 Краматорськ, вул. Софіївська, 151, смт Біленьке (філія-7)</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7</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 xml:space="preserve">Донецька область, </w:t>
                  </w:r>
                  <w:r w:rsidRPr="001D76EC">
                    <w:rPr>
                      <w:rFonts w:ascii="Times New Roman" w:eastAsia="Calibri" w:hAnsi="Times New Roman" w:cs="Times New Roman"/>
                      <w:lang w:eastAsia="ru-RU"/>
                    </w:rPr>
                    <w:t xml:space="preserve"> </w:t>
                  </w:r>
                  <w:r w:rsidRPr="001D76EC">
                    <w:rPr>
                      <w:rFonts w:ascii="Times New Roman" w:eastAsia="Tahoma" w:hAnsi="Times New Roman" w:cs="Times New Roman"/>
                      <w:color w:val="000000"/>
                      <w:lang w:eastAsia="ru-RU"/>
                    </w:rPr>
                    <w:t>м. Краматорськ, вул. Лівобережна, 295, смт Ясногірка (філія-8)</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lastRenderedPageBreak/>
                    <w:t>8</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w:t>
                  </w:r>
                  <w:r w:rsidRPr="001D76EC">
                    <w:rPr>
                      <w:rFonts w:ascii="Times New Roman" w:eastAsia="Calibri" w:hAnsi="Times New Roman" w:cs="Times New Roman"/>
                      <w:lang w:eastAsia="ru-RU"/>
                    </w:rPr>
                    <w:t xml:space="preserve"> </w:t>
                  </w:r>
                  <w:r w:rsidRPr="001D76EC">
                    <w:rPr>
                      <w:rFonts w:ascii="Times New Roman" w:eastAsia="Tahoma" w:hAnsi="Times New Roman" w:cs="Times New Roman"/>
                      <w:color w:val="000000"/>
                      <w:lang w:eastAsia="ru-RU"/>
                    </w:rPr>
                    <w:t>м. Краматорськ, вул. Курортна, 21, селище Іванівка (філія 9)</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9</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w:t>
                  </w:r>
                  <w:r w:rsidRPr="001D76EC">
                    <w:rPr>
                      <w:rFonts w:ascii="Times New Roman" w:eastAsia="Calibri" w:hAnsi="Times New Roman" w:cs="Times New Roman"/>
                      <w:lang w:eastAsia="ru-RU"/>
                    </w:rPr>
                    <w:t xml:space="preserve"> </w:t>
                  </w:r>
                  <w:r w:rsidRPr="001D76EC">
                    <w:rPr>
                      <w:rFonts w:ascii="Times New Roman" w:eastAsia="Tahoma" w:hAnsi="Times New Roman" w:cs="Times New Roman"/>
                      <w:color w:val="000000"/>
                      <w:lang w:eastAsia="ru-RU"/>
                    </w:rPr>
                    <w:t>м. Краматорськ, вул. Дніпровська, 2 (філія-12)</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10</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область,м. Краматорськ, селище Городещино, вул. Кемерівська, 31-а. (філія-13)</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11</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 xml:space="preserve">Донецька область, </w:t>
                  </w:r>
                  <w:r w:rsidRPr="001D76EC">
                    <w:rPr>
                      <w:rFonts w:ascii="Times New Roman" w:eastAsia="Calibri" w:hAnsi="Times New Roman" w:cs="Times New Roman"/>
                      <w:lang w:eastAsia="ru-RU"/>
                    </w:rPr>
                    <w:t xml:space="preserve"> </w:t>
                  </w:r>
                  <w:r w:rsidRPr="001D76EC">
                    <w:rPr>
                      <w:rFonts w:ascii="Times New Roman" w:eastAsia="Tahoma" w:hAnsi="Times New Roman" w:cs="Times New Roman"/>
                      <w:color w:val="000000"/>
                      <w:lang w:eastAsia="ru-RU"/>
                    </w:rPr>
                    <w:t>м. Краматорськ, вул. Паркова, 14 (філія-14)</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12</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 Крамат7орськ, вул. В. Садова, 62 (філія-17)</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13</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вул.Ювілейна, 44 (ШМ-1)</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14</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tabs>
                      <w:tab w:val="left" w:pos="1038"/>
                    </w:tabs>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вул.Гайдамаки (Пролетарська), 6 (ШМ-2)</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15</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tabs>
                      <w:tab w:val="left" w:pos="1038"/>
                    </w:tabs>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вул.Бєляєва, 121а (ШМ-3)</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16</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tabs>
                      <w:tab w:val="left" w:pos="1038"/>
                    </w:tabs>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вул.Марата, 15 (Художня школа)</w:t>
                  </w:r>
                </w:p>
              </w:tc>
            </w:tr>
            <w:tr w:rsidR="001D76EC" w:rsidRPr="00FA659B"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17</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val="uk-UA" w:eastAsia="ru-RU"/>
                    </w:rPr>
                  </w:pPr>
                  <w:r w:rsidRPr="001D76EC">
                    <w:rPr>
                      <w:rFonts w:ascii="Times New Roman" w:eastAsia="Tahoma" w:hAnsi="Times New Roman" w:cs="Times New Roman"/>
                      <w:color w:val="000000"/>
                      <w:lang w:val="uk-UA" w:eastAsia="ru-RU"/>
                    </w:rPr>
                    <w:t>Донецька область, м.Краматорськ, вул.Шкільна, 9 д (МПК ім.Л.Бикова)</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18</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вул.Маяковського, 9</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19</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вул.Рилєєва, 16 (клуб «Зоря»)</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20</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вул.Молодіжна, 1 (ТП-77) (клуб «Надія»)</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21</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вул.Академічна (Шкадінова), 60</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22</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rPr>
                      <w:rFonts w:ascii="Times New Roman" w:eastAsia="Calibri" w:hAnsi="Times New Roman" w:cs="Times New Roman"/>
                      <w:lang w:eastAsia="ru-RU"/>
                    </w:rPr>
                  </w:pPr>
                  <w:r w:rsidRPr="001D76EC">
                    <w:rPr>
                      <w:rFonts w:ascii="Times New Roman" w:eastAsia="Tahoma" w:hAnsi="Times New Roman" w:cs="Times New Roman"/>
                      <w:color w:val="000000"/>
                      <w:lang w:eastAsia="ru-RU"/>
                    </w:rPr>
                    <w:t>Донецька область</w:t>
                  </w:r>
                  <w:r w:rsidRPr="001D76EC">
                    <w:rPr>
                      <w:rFonts w:ascii="Times New Roman" w:eastAsia="Calibri" w:hAnsi="Times New Roman" w:cs="Times New Roman"/>
                      <w:lang w:eastAsia="ru-RU"/>
                    </w:rPr>
                    <w:t>, м.Краматорськ, вул.Машинобудівників, 37 (контора управління)</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23</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ind w:left="-72" w:right="-108"/>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Будівництво оздоровчого комплексу</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24</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вул.Василя Стуса (Соціалістична), 62 (контора «Мир»)</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25</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вул.Василя Стуса (Соціалістична), 62 (ДЮК «Молодість»)</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26</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вул.Н.Курченко, 29 (Клуб «Прометей»)</w:t>
                  </w:r>
                </w:p>
              </w:tc>
            </w:tr>
            <w:tr w:rsidR="001D76EC" w:rsidRPr="001D76EC" w:rsidTr="00F60312">
              <w:trPr>
                <w:trHeight w:val="456"/>
              </w:trPr>
              <w:tc>
                <w:tcPr>
                  <w:tcW w:w="534" w:type="dxa"/>
                </w:tcPr>
                <w:p w:rsidR="001D76EC" w:rsidRPr="001D76EC" w:rsidRDefault="001D76EC" w:rsidP="001D76EC">
                  <w:pPr>
                    <w:jc w:val="center"/>
                    <w:rPr>
                      <w:rFonts w:ascii="Times New Roman" w:eastAsia="Calibri" w:hAnsi="Times New Roman" w:cs="Times New Roman"/>
                      <w:lang w:val="uk-UA" w:eastAsia="ru-RU"/>
                    </w:rPr>
                  </w:pPr>
                  <w:r w:rsidRPr="001D76EC">
                    <w:rPr>
                      <w:rFonts w:ascii="Times New Roman" w:eastAsia="Calibri" w:hAnsi="Times New Roman" w:cs="Times New Roman"/>
                      <w:lang w:eastAsia="ru-RU"/>
                    </w:rPr>
                    <w:t>27</w:t>
                  </w:r>
                  <w:r w:rsidRPr="001D76EC">
                    <w:rPr>
                      <w:rFonts w:ascii="Times New Roman" w:eastAsia="Calibri" w:hAnsi="Times New Roman" w:cs="Times New Roman"/>
                      <w:lang w:val="uk-UA" w:eastAsia="ru-RU"/>
                    </w:rPr>
                    <w:t>.</w:t>
                  </w:r>
                </w:p>
              </w:tc>
              <w:tc>
                <w:tcPr>
                  <w:tcW w:w="7541" w:type="dxa"/>
                </w:tcPr>
                <w:p w:rsidR="001D76EC" w:rsidRPr="001D76EC" w:rsidRDefault="001D76EC" w:rsidP="001D76EC">
                  <w:pPr>
                    <w:spacing w:line="276" w:lineRule="auto"/>
                    <w:rPr>
                      <w:rFonts w:ascii="Times New Roman" w:eastAsia="Tahoma" w:hAnsi="Times New Roman" w:cs="Times New Roman"/>
                      <w:color w:val="000000"/>
                      <w:lang w:eastAsia="ru-RU"/>
                    </w:rPr>
                  </w:pPr>
                  <w:r w:rsidRPr="001D76EC">
                    <w:rPr>
                      <w:rFonts w:ascii="Times New Roman" w:eastAsia="Tahoma" w:hAnsi="Times New Roman" w:cs="Times New Roman"/>
                      <w:color w:val="000000"/>
                      <w:lang w:eastAsia="ru-RU"/>
                    </w:rPr>
                    <w:t>Донецька область, м.Краматорськ, вул. Паркова, 99</w:t>
                  </w:r>
                  <w:r w:rsidRPr="001D76EC">
                    <w:rPr>
                      <w:rFonts w:ascii="Times New Roman" w:eastAsia="Calibri" w:hAnsi="Times New Roman" w:cs="Times New Roman"/>
                    </w:rPr>
                    <w:t xml:space="preserve"> (</w:t>
                  </w:r>
                  <w:r w:rsidRPr="001D76EC">
                    <w:rPr>
                      <w:rFonts w:ascii="Times New Roman" w:eastAsia="Tahoma" w:hAnsi="Times New Roman" w:cs="Times New Roman"/>
                      <w:color w:val="000000"/>
                      <w:lang w:eastAsia="ru-RU"/>
                    </w:rPr>
                    <w:t xml:space="preserve">Клуб «Факел») </w:t>
                  </w:r>
                </w:p>
              </w:tc>
            </w:tr>
          </w:tbl>
          <w:p w:rsidR="001D76EC" w:rsidRPr="001D76EC" w:rsidRDefault="001D76EC" w:rsidP="001D76EC">
            <w:pPr>
              <w:spacing w:after="0" w:line="240" w:lineRule="auto"/>
              <w:rPr>
                <w:rFonts w:ascii="Times New Roman" w:eastAsia="Calibri" w:hAnsi="Times New Roman" w:cs="Times New Roman"/>
                <w:sz w:val="24"/>
                <w:szCs w:val="24"/>
                <w:lang w:val="uk-UA"/>
              </w:rPr>
            </w:pPr>
          </w:p>
        </w:tc>
      </w:tr>
      <w:tr w:rsidR="001D76EC" w:rsidRPr="001D76EC" w:rsidTr="00F60312">
        <w:trPr>
          <w:trHeight w:val="632"/>
        </w:trPr>
        <w:tc>
          <w:tcPr>
            <w:tcW w:w="2836" w:type="dxa"/>
            <w:tcBorders>
              <w:top w:val="single" w:sz="6" w:space="0" w:color="auto"/>
              <w:left w:val="single" w:sz="6" w:space="0" w:color="auto"/>
              <w:bottom w:val="single" w:sz="6" w:space="0" w:color="auto"/>
              <w:right w:val="single" w:sz="6" w:space="0" w:color="auto"/>
            </w:tcBorders>
            <w:vAlign w:val="center"/>
          </w:tcPr>
          <w:p w:rsidR="001D76EC" w:rsidRPr="001D76EC" w:rsidRDefault="001D76EC" w:rsidP="001D76EC">
            <w:pPr>
              <w:spacing w:after="0" w:line="240" w:lineRule="auto"/>
              <w:rPr>
                <w:rFonts w:ascii="Times New Roman" w:eastAsia="Calibri" w:hAnsi="Times New Roman" w:cs="Times New Roman"/>
                <w:sz w:val="24"/>
                <w:szCs w:val="24"/>
                <w:lang w:val="uk-UA" w:eastAsia="ru-RU"/>
              </w:rPr>
            </w:pPr>
            <w:r w:rsidRPr="001D76EC">
              <w:rPr>
                <w:rFonts w:ascii="Times New Roman" w:eastAsia="Calibri" w:hAnsi="Times New Roman" w:cs="Times New Roman"/>
                <w:sz w:val="24"/>
                <w:szCs w:val="24"/>
                <w:lang w:val="uk-UA"/>
              </w:rPr>
              <w:lastRenderedPageBreak/>
              <w:t>Строк поставки товару</w:t>
            </w:r>
          </w:p>
        </w:tc>
        <w:tc>
          <w:tcPr>
            <w:tcW w:w="7371" w:type="dxa"/>
            <w:tcBorders>
              <w:top w:val="single" w:sz="6" w:space="0" w:color="auto"/>
              <w:left w:val="single" w:sz="6" w:space="0" w:color="auto"/>
              <w:bottom w:val="single" w:sz="6" w:space="0" w:color="auto"/>
              <w:right w:val="single" w:sz="6" w:space="0" w:color="auto"/>
            </w:tcBorders>
          </w:tcPr>
          <w:p w:rsidR="001D76EC" w:rsidRPr="001D76EC" w:rsidRDefault="001D76EC" w:rsidP="001D76EC">
            <w:pPr>
              <w:spacing w:after="0" w:line="240" w:lineRule="auto"/>
              <w:rPr>
                <w:rFonts w:ascii="Times New Roman" w:eastAsia="Calibri" w:hAnsi="Times New Roman" w:cs="Times New Roman"/>
                <w:sz w:val="24"/>
                <w:szCs w:val="24"/>
                <w:shd w:val="clear" w:color="auto" w:fill="FFFFFF"/>
                <w:lang w:val="uk-UA" w:eastAsia="uk-UA"/>
              </w:rPr>
            </w:pPr>
            <w:r w:rsidRPr="001D76EC">
              <w:rPr>
                <w:rFonts w:ascii="Times New Roman" w:eastAsia="Calibri" w:hAnsi="Times New Roman" w:cs="Times New Roman"/>
                <w:color w:val="000000"/>
                <w:sz w:val="24"/>
                <w:szCs w:val="24"/>
                <w:lang w:val="uk-UA"/>
              </w:rPr>
              <w:t>Цілодобово до 31.12.2022 включно. Початком постачання електричної енергії Споживачу є дата, зазначена в Заяві – приєднання</w:t>
            </w:r>
          </w:p>
        </w:tc>
      </w:tr>
    </w:tbl>
    <w:p w:rsidR="001D76EC" w:rsidRPr="001D76EC" w:rsidRDefault="001D76EC" w:rsidP="001D76EC">
      <w:pPr>
        <w:spacing w:after="0" w:line="240" w:lineRule="auto"/>
        <w:jc w:val="center"/>
        <w:rPr>
          <w:rFonts w:ascii="Times New Roman" w:eastAsia="Calibri" w:hAnsi="Times New Roman" w:cs="Times New Roman"/>
          <w:b/>
          <w:sz w:val="24"/>
          <w:szCs w:val="24"/>
          <w:lang w:val="uk-UA"/>
        </w:rPr>
      </w:pPr>
    </w:p>
    <w:p w:rsidR="001D76EC" w:rsidRPr="001D76EC" w:rsidRDefault="001D76EC" w:rsidP="001D76EC">
      <w:pPr>
        <w:spacing w:after="0" w:line="240" w:lineRule="auto"/>
        <w:jc w:val="center"/>
        <w:rPr>
          <w:rFonts w:ascii="Times New Roman" w:eastAsia="Calibri" w:hAnsi="Times New Roman" w:cs="Times New Roman"/>
          <w:b/>
          <w:sz w:val="24"/>
          <w:szCs w:val="24"/>
          <w:lang w:val="uk-UA"/>
        </w:rPr>
      </w:pPr>
      <w:r w:rsidRPr="001D76EC">
        <w:rPr>
          <w:rFonts w:ascii="Times New Roman" w:eastAsia="Calibri" w:hAnsi="Times New Roman" w:cs="Times New Roman"/>
          <w:b/>
          <w:sz w:val="24"/>
          <w:szCs w:val="24"/>
          <w:lang w:val="uk-UA"/>
        </w:rPr>
        <w:t>Детальний опис предмета закупівлі та вимоги щодо якості</w:t>
      </w:r>
    </w:p>
    <w:tbl>
      <w:tblPr>
        <w:tblpPr w:leftFromText="180" w:rightFromText="180" w:vertAnchor="text" w:horzAnchor="margin" w:tblpX="-10" w:tblpY="102"/>
        <w:tblW w:w="9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2"/>
        <w:gridCol w:w="2797"/>
        <w:gridCol w:w="1951"/>
        <w:gridCol w:w="1464"/>
        <w:gridCol w:w="1626"/>
        <w:gridCol w:w="1464"/>
      </w:tblGrid>
      <w:tr w:rsidR="001D76EC" w:rsidRPr="001D76EC" w:rsidTr="00F60312">
        <w:trPr>
          <w:trHeight w:val="828"/>
        </w:trPr>
        <w:tc>
          <w:tcPr>
            <w:tcW w:w="612" w:type="dxa"/>
            <w:vAlign w:val="center"/>
            <w:hideMark/>
          </w:tcPr>
          <w:p w:rsidR="001D76EC" w:rsidRPr="001D76EC" w:rsidRDefault="001D76EC" w:rsidP="001D76EC">
            <w:pPr>
              <w:spacing w:after="0" w:line="240" w:lineRule="auto"/>
              <w:jc w:val="center"/>
              <w:rPr>
                <w:rFonts w:ascii="Times New Roman" w:eastAsia="Calibri" w:hAnsi="Times New Roman" w:cs="Times New Roman"/>
                <w:b/>
                <w:sz w:val="24"/>
                <w:szCs w:val="24"/>
                <w:lang w:val="uk-UA"/>
              </w:rPr>
            </w:pPr>
            <w:r w:rsidRPr="001D76EC">
              <w:rPr>
                <w:rFonts w:ascii="Times New Roman" w:eastAsia="Calibri" w:hAnsi="Times New Roman" w:cs="Times New Roman"/>
                <w:b/>
                <w:sz w:val="24"/>
                <w:szCs w:val="24"/>
                <w:lang w:val="uk-UA"/>
              </w:rPr>
              <w:t>№ з/п</w:t>
            </w:r>
          </w:p>
        </w:tc>
        <w:tc>
          <w:tcPr>
            <w:tcW w:w="2797" w:type="dxa"/>
            <w:vAlign w:val="center"/>
            <w:hideMark/>
          </w:tcPr>
          <w:p w:rsidR="001D76EC" w:rsidRPr="001D76EC" w:rsidRDefault="001D76EC" w:rsidP="001D76EC">
            <w:pPr>
              <w:spacing w:after="0" w:line="240" w:lineRule="auto"/>
              <w:ind w:right="-110"/>
              <w:jc w:val="center"/>
              <w:rPr>
                <w:rFonts w:ascii="Times New Roman" w:eastAsia="Calibri" w:hAnsi="Times New Roman" w:cs="Times New Roman"/>
                <w:b/>
                <w:sz w:val="24"/>
                <w:szCs w:val="24"/>
                <w:lang w:val="uk-UA"/>
              </w:rPr>
            </w:pPr>
            <w:r w:rsidRPr="001D76EC">
              <w:rPr>
                <w:rFonts w:ascii="Times New Roman" w:eastAsia="Calibri" w:hAnsi="Times New Roman" w:cs="Times New Roman"/>
                <w:b/>
                <w:bCs/>
                <w:color w:val="000000"/>
                <w:sz w:val="24"/>
                <w:szCs w:val="24"/>
                <w:lang w:val="uk-UA" w:eastAsia="ru-RU"/>
              </w:rPr>
              <w:t>Найменування Товару</w:t>
            </w:r>
          </w:p>
        </w:tc>
        <w:tc>
          <w:tcPr>
            <w:tcW w:w="1951" w:type="dxa"/>
          </w:tcPr>
          <w:p w:rsidR="001D76EC" w:rsidRPr="001D76EC" w:rsidRDefault="001D76EC" w:rsidP="001D76EC">
            <w:pPr>
              <w:spacing w:after="0" w:line="240" w:lineRule="auto"/>
              <w:jc w:val="center"/>
              <w:rPr>
                <w:rFonts w:ascii="Times New Roman" w:eastAsia="Calibri" w:hAnsi="Times New Roman" w:cs="Times New Roman"/>
                <w:b/>
                <w:sz w:val="24"/>
                <w:szCs w:val="24"/>
                <w:lang w:val="uk-UA"/>
              </w:rPr>
            </w:pPr>
            <w:r w:rsidRPr="001D76EC">
              <w:rPr>
                <w:rFonts w:ascii="Times New Roman" w:eastAsia="Calibri" w:hAnsi="Times New Roman" w:cs="Times New Roman"/>
                <w:b/>
                <w:bCs/>
                <w:sz w:val="24"/>
                <w:szCs w:val="24"/>
                <w:lang w:val="uk-UA"/>
              </w:rPr>
              <w:t>Категорія площадки вимірювання Споживача</w:t>
            </w:r>
          </w:p>
        </w:tc>
        <w:tc>
          <w:tcPr>
            <w:tcW w:w="1464" w:type="dxa"/>
            <w:vAlign w:val="center"/>
            <w:hideMark/>
          </w:tcPr>
          <w:p w:rsidR="001D76EC" w:rsidRPr="001D76EC" w:rsidRDefault="001D76EC" w:rsidP="001D76EC">
            <w:pPr>
              <w:spacing w:after="0" w:line="240" w:lineRule="auto"/>
              <w:jc w:val="center"/>
              <w:rPr>
                <w:rFonts w:ascii="Times New Roman" w:eastAsia="Calibri" w:hAnsi="Times New Roman" w:cs="Times New Roman"/>
                <w:b/>
                <w:sz w:val="24"/>
                <w:szCs w:val="24"/>
                <w:lang w:val="uk-UA"/>
              </w:rPr>
            </w:pPr>
            <w:r w:rsidRPr="001D76EC">
              <w:rPr>
                <w:rFonts w:ascii="Times New Roman" w:eastAsia="Calibri" w:hAnsi="Times New Roman" w:cs="Times New Roman"/>
                <w:b/>
                <w:sz w:val="24"/>
                <w:szCs w:val="24"/>
                <w:lang w:val="uk-UA"/>
              </w:rPr>
              <w:t>Клас напруги</w:t>
            </w:r>
          </w:p>
        </w:tc>
        <w:tc>
          <w:tcPr>
            <w:tcW w:w="1626" w:type="dxa"/>
            <w:vAlign w:val="center"/>
          </w:tcPr>
          <w:p w:rsidR="001D76EC" w:rsidRPr="001D76EC" w:rsidRDefault="001D76EC" w:rsidP="001D76EC">
            <w:pPr>
              <w:spacing w:after="0" w:line="240" w:lineRule="auto"/>
              <w:jc w:val="center"/>
              <w:rPr>
                <w:rFonts w:ascii="Times New Roman" w:eastAsia="Calibri" w:hAnsi="Times New Roman" w:cs="Times New Roman"/>
                <w:b/>
                <w:sz w:val="24"/>
                <w:szCs w:val="24"/>
                <w:lang w:val="uk-UA"/>
              </w:rPr>
            </w:pPr>
            <w:r w:rsidRPr="001D76EC">
              <w:rPr>
                <w:rFonts w:ascii="Times New Roman" w:eastAsia="Calibri" w:hAnsi="Times New Roman" w:cs="Times New Roman"/>
                <w:b/>
                <w:bCs/>
                <w:sz w:val="24"/>
                <w:szCs w:val="24"/>
                <w:lang w:val="uk-UA"/>
              </w:rPr>
              <w:t>Одиниці виміру</w:t>
            </w:r>
          </w:p>
        </w:tc>
        <w:tc>
          <w:tcPr>
            <w:tcW w:w="1464" w:type="dxa"/>
            <w:vAlign w:val="center"/>
            <w:hideMark/>
          </w:tcPr>
          <w:p w:rsidR="001D76EC" w:rsidRPr="001D76EC" w:rsidRDefault="001D76EC" w:rsidP="001D76EC">
            <w:pPr>
              <w:spacing w:after="0" w:line="240" w:lineRule="auto"/>
              <w:jc w:val="center"/>
              <w:rPr>
                <w:rFonts w:ascii="Times New Roman" w:eastAsia="Calibri" w:hAnsi="Times New Roman" w:cs="Times New Roman"/>
                <w:b/>
                <w:sz w:val="24"/>
                <w:szCs w:val="24"/>
                <w:lang w:val="uk-UA"/>
              </w:rPr>
            </w:pPr>
            <w:r w:rsidRPr="001D76EC">
              <w:rPr>
                <w:rFonts w:ascii="Times New Roman" w:eastAsia="Calibri" w:hAnsi="Times New Roman" w:cs="Times New Roman"/>
                <w:b/>
                <w:bCs/>
                <w:sz w:val="24"/>
                <w:szCs w:val="24"/>
                <w:lang w:val="uk-UA"/>
              </w:rPr>
              <w:t>Кількість</w:t>
            </w:r>
          </w:p>
        </w:tc>
      </w:tr>
      <w:tr w:rsidR="001D76EC" w:rsidRPr="001D76EC" w:rsidTr="00F60312">
        <w:trPr>
          <w:trHeight w:val="687"/>
        </w:trPr>
        <w:tc>
          <w:tcPr>
            <w:tcW w:w="612" w:type="dxa"/>
            <w:vAlign w:val="center"/>
            <w:hideMark/>
          </w:tcPr>
          <w:p w:rsidR="001D76EC" w:rsidRPr="001D76EC" w:rsidRDefault="001D76EC" w:rsidP="001D76EC">
            <w:pPr>
              <w:spacing w:after="0" w:line="240" w:lineRule="auto"/>
              <w:jc w:val="center"/>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1</w:t>
            </w:r>
          </w:p>
        </w:tc>
        <w:tc>
          <w:tcPr>
            <w:tcW w:w="2797" w:type="dxa"/>
            <w:vAlign w:val="center"/>
          </w:tcPr>
          <w:p w:rsidR="001D76EC" w:rsidRPr="001D76EC" w:rsidRDefault="001D76EC" w:rsidP="001D76EC">
            <w:pPr>
              <w:spacing w:after="0" w:line="240" w:lineRule="auto"/>
              <w:jc w:val="center"/>
              <w:rPr>
                <w:rFonts w:ascii="Times New Roman" w:eastAsia="Calibri" w:hAnsi="Times New Roman" w:cs="Times New Roman"/>
                <w:color w:val="000000"/>
                <w:sz w:val="24"/>
                <w:szCs w:val="24"/>
                <w:lang w:val="uk-UA" w:eastAsia="ru-RU"/>
              </w:rPr>
            </w:pPr>
            <w:r w:rsidRPr="001D76EC">
              <w:rPr>
                <w:rFonts w:ascii="Times New Roman" w:eastAsia="Calibri" w:hAnsi="Times New Roman" w:cs="Times New Roman"/>
                <w:sz w:val="24"/>
                <w:szCs w:val="24"/>
                <w:lang w:val="uk-UA"/>
              </w:rPr>
              <w:t>Електрична енергія</w:t>
            </w:r>
          </w:p>
        </w:tc>
        <w:tc>
          <w:tcPr>
            <w:tcW w:w="1951" w:type="dxa"/>
            <w:vAlign w:val="center"/>
          </w:tcPr>
          <w:p w:rsidR="001D76EC" w:rsidRPr="001D76EC" w:rsidRDefault="001D76EC" w:rsidP="001D76EC">
            <w:pPr>
              <w:spacing w:after="0" w:line="240" w:lineRule="auto"/>
              <w:jc w:val="center"/>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Група «В»</w:t>
            </w:r>
          </w:p>
        </w:tc>
        <w:tc>
          <w:tcPr>
            <w:tcW w:w="1464" w:type="dxa"/>
            <w:vAlign w:val="center"/>
          </w:tcPr>
          <w:p w:rsidR="001D76EC" w:rsidRPr="001D76EC" w:rsidRDefault="001D76EC" w:rsidP="001D76EC">
            <w:pPr>
              <w:spacing w:after="0" w:line="240" w:lineRule="auto"/>
              <w:jc w:val="center"/>
              <w:rPr>
                <w:rFonts w:ascii="Times New Roman" w:eastAsia="Calibri" w:hAnsi="Times New Roman" w:cs="Times New Roman"/>
                <w:color w:val="000000"/>
                <w:sz w:val="24"/>
                <w:szCs w:val="24"/>
                <w:lang w:val="uk-UA" w:eastAsia="ru-RU"/>
              </w:rPr>
            </w:pPr>
            <w:r w:rsidRPr="001D76EC">
              <w:rPr>
                <w:rFonts w:ascii="Times New Roman" w:eastAsia="Calibri" w:hAnsi="Times New Roman" w:cs="Times New Roman"/>
                <w:color w:val="000000"/>
                <w:sz w:val="24"/>
                <w:szCs w:val="24"/>
                <w:lang w:val="uk-UA" w:eastAsia="ru-RU"/>
              </w:rPr>
              <w:t>2</w:t>
            </w:r>
          </w:p>
        </w:tc>
        <w:tc>
          <w:tcPr>
            <w:tcW w:w="1626" w:type="dxa"/>
            <w:vAlign w:val="center"/>
          </w:tcPr>
          <w:p w:rsidR="001D76EC" w:rsidRPr="001D76EC" w:rsidRDefault="001D76EC" w:rsidP="001D76EC">
            <w:pPr>
              <w:spacing w:after="0" w:line="240" w:lineRule="auto"/>
              <w:jc w:val="center"/>
              <w:rPr>
                <w:rFonts w:ascii="Times New Roman" w:eastAsia="Calibri" w:hAnsi="Times New Roman" w:cs="Times New Roman"/>
                <w:color w:val="000000"/>
                <w:sz w:val="24"/>
                <w:szCs w:val="24"/>
                <w:vertAlign w:val="superscript"/>
                <w:lang w:val="uk-UA" w:eastAsia="ru-RU"/>
              </w:rPr>
            </w:pPr>
            <w:r w:rsidRPr="001D76EC">
              <w:rPr>
                <w:rFonts w:ascii="Times New Roman" w:eastAsia="Calibri" w:hAnsi="Times New Roman" w:cs="Times New Roman"/>
                <w:sz w:val="24"/>
                <w:szCs w:val="24"/>
                <w:lang w:val="uk-UA"/>
              </w:rPr>
              <w:t>кВт/год</w:t>
            </w:r>
          </w:p>
        </w:tc>
        <w:tc>
          <w:tcPr>
            <w:tcW w:w="1464" w:type="dxa"/>
            <w:vAlign w:val="center"/>
          </w:tcPr>
          <w:p w:rsidR="001D76EC" w:rsidRPr="001D76EC" w:rsidRDefault="001D76EC" w:rsidP="001D76EC">
            <w:pPr>
              <w:spacing w:after="0" w:line="240" w:lineRule="auto"/>
              <w:jc w:val="center"/>
              <w:rPr>
                <w:rFonts w:ascii="Times New Roman" w:eastAsia="Calibri" w:hAnsi="Times New Roman" w:cs="Times New Roman"/>
                <w:color w:val="000000"/>
                <w:sz w:val="24"/>
                <w:szCs w:val="24"/>
                <w:lang w:val="uk-UA" w:eastAsia="ru-RU"/>
              </w:rPr>
            </w:pPr>
            <w:r w:rsidRPr="001D76EC">
              <w:rPr>
                <w:rFonts w:ascii="Times New Roman" w:eastAsia="Calibri" w:hAnsi="Times New Roman" w:cs="Times New Roman"/>
                <w:color w:val="000000"/>
                <w:sz w:val="24"/>
                <w:szCs w:val="24"/>
                <w:lang w:val="uk-UA" w:eastAsia="ru-RU"/>
              </w:rPr>
              <w:t>142486</w:t>
            </w:r>
          </w:p>
        </w:tc>
      </w:tr>
    </w:tbl>
    <w:p w:rsidR="001D76EC" w:rsidRPr="001D76EC" w:rsidRDefault="001D76EC" w:rsidP="001D76EC">
      <w:pPr>
        <w:autoSpaceDE w:val="0"/>
        <w:autoSpaceDN w:val="0"/>
        <w:adjustRightInd w:val="0"/>
        <w:spacing w:after="0" w:line="240" w:lineRule="auto"/>
        <w:ind w:firstLine="720"/>
        <w:contextualSpacing/>
        <w:rPr>
          <w:rFonts w:ascii="Times New Roman" w:eastAsia="Calibri" w:hAnsi="Times New Roman" w:cs="Times New Roman"/>
          <w:sz w:val="24"/>
          <w:szCs w:val="24"/>
          <w:lang w:val="uk-UA"/>
        </w:rPr>
      </w:pPr>
    </w:p>
    <w:p w:rsidR="001D76EC" w:rsidRPr="001D76EC" w:rsidRDefault="001D76EC" w:rsidP="001D76EC">
      <w:pPr>
        <w:tabs>
          <w:tab w:val="left" w:pos="993"/>
          <w:tab w:val="left" w:pos="1560"/>
        </w:tabs>
        <w:spacing w:after="0" w:line="240" w:lineRule="auto"/>
        <w:ind w:right="-2" w:firstLine="567"/>
        <w:jc w:val="both"/>
        <w:rPr>
          <w:rFonts w:ascii="Times New Roman" w:eastAsia="Calibri" w:hAnsi="Times New Roman" w:cs="Times New Roman"/>
          <w:b/>
          <w:sz w:val="24"/>
          <w:szCs w:val="24"/>
          <w:lang w:val="uk-UA"/>
        </w:rPr>
      </w:pPr>
      <w:r w:rsidRPr="001D76EC">
        <w:rPr>
          <w:rFonts w:ascii="Times New Roman" w:eastAsia="Calibri" w:hAnsi="Times New Roman" w:cs="Times New Roman"/>
          <w:b/>
          <w:sz w:val="24"/>
          <w:szCs w:val="24"/>
          <w:lang w:val="uk-UA"/>
        </w:rPr>
        <w:t>1. Особливі вимоги до предмету закупівлі.</w:t>
      </w:r>
    </w:p>
    <w:p w:rsidR="001D76EC" w:rsidRPr="001D76EC" w:rsidRDefault="001D76EC" w:rsidP="001D76EC">
      <w:pPr>
        <w:tabs>
          <w:tab w:val="left" w:pos="993"/>
          <w:tab w:val="left" w:pos="1560"/>
        </w:tabs>
        <w:spacing w:after="0" w:line="240" w:lineRule="auto"/>
        <w:ind w:right="-2" w:firstLine="567"/>
        <w:jc w:val="both"/>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Постачання електричної енергії споживачу регулюється чинним законодавством України:</w:t>
      </w:r>
    </w:p>
    <w:p w:rsidR="001D76EC" w:rsidRPr="001D76EC" w:rsidRDefault="001D76EC" w:rsidP="001D76EC">
      <w:pPr>
        <w:numPr>
          <w:ilvl w:val="0"/>
          <w:numId w:val="1"/>
        </w:numPr>
        <w:tabs>
          <w:tab w:val="left" w:pos="993"/>
          <w:tab w:val="left" w:pos="1560"/>
        </w:tabs>
        <w:suppressAutoHyphens/>
        <w:spacing w:after="0" w:line="240" w:lineRule="auto"/>
        <w:ind w:left="142" w:right="-2" w:firstLine="567"/>
        <w:contextualSpacing/>
        <w:jc w:val="both"/>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Кодексом систем розподілу, затвердженого постановою Національної комісії регулювання електроенергетики та комунальних послуг України від 14.03.2018 № 310;</w:t>
      </w:r>
    </w:p>
    <w:p w:rsidR="001D76EC" w:rsidRPr="001D76EC" w:rsidRDefault="001D76EC" w:rsidP="001D76EC">
      <w:pPr>
        <w:numPr>
          <w:ilvl w:val="0"/>
          <w:numId w:val="1"/>
        </w:numPr>
        <w:tabs>
          <w:tab w:val="left" w:pos="993"/>
          <w:tab w:val="left" w:pos="1560"/>
        </w:tabs>
        <w:suppressAutoHyphens/>
        <w:spacing w:after="0" w:line="240" w:lineRule="auto"/>
        <w:ind w:left="142" w:right="-2" w:firstLine="567"/>
        <w:contextualSpacing/>
        <w:jc w:val="both"/>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lastRenderedPageBreak/>
        <w:t>Кодексом системи передачі, затвердженого постановою Національної комісії регулювання електроенергетики та комунальних послуг України від 14.03.2018 № 309;</w:t>
      </w:r>
    </w:p>
    <w:p w:rsidR="001D76EC" w:rsidRPr="001D76EC" w:rsidRDefault="001D76EC" w:rsidP="001D76EC">
      <w:pPr>
        <w:numPr>
          <w:ilvl w:val="0"/>
          <w:numId w:val="1"/>
        </w:numPr>
        <w:tabs>
          <w:tab w:val="left" w:pos="993"/>
          <w:tab w:val="left" w:pos="1560"/>
        </w:tabs>
        <w:suppressAutoHyphens/>
        <w:spacing w:after="0" w:line="240" w:lineRule="auto"/>
        <w:ind w:left="142" w:right="-2" w:firstLine="567"/>
        <w:contextualSpacing/>
        <w:jc w:val="both"/>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Законом України від 13.04.2017 № 2019-VIII «Про ринок електричної енергії»;</w:t>
      </w:r>
    </w:p>
    <w:p w:rsidR="001D76EC" w:rsidRPr="001D76EC" w:rsidRDefault="001D76EC" w:rsidP="001D76EC">
      <w:pPr>
        <w:numPr>
          <w:ilvl w:val="0"/>
          <w:numId w:val="1"/>
        </w:numPr>
        <w:tabs>
          <w:tab w:val="left" w:pos="993"/>
          <w:tab w:val="left" w:pos="1560"/>
        </w:tabs>
        <w:suppressAutoHyphens/>
        <w:spacing w:after="0" w:line="240" w:lineRule="auto"/>
        <w:ind w:left="142" w:right="-2" w:firstLine="567"/>
        <w:contextualSpacing/>
        <w:jc w:val="both"/>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Правилами роздрібного ринку електричної енергії, затвердженими постановою Національної комісії регулювання електроенергетики та комунальних послуг України від 14.03.2018 № 312.</w:t>
      </w:r>
    </w:p>
    <w:p w:rsidR="001D76EC" w:rsidRPr="001D76EC" w:rsidRDefault="001D76EC" w:rsidP="001D76EC">
      <w:pPr>
        <w:tabs>
          <w:tab w:val="left" w:pos="993"/>
          <w:tab w:val="left" w:pos="1560"/>
        </w:tabs>
        <w:spacing w:after="0" w:line="240" w:lineRule="auto"/>
        <w:ind w:right="-2" w:firstLine="567"/>
        <w:jc w:val="both"/>
        <w:rPr>
          <w:rFonts w:ascii="Times New Roman" w:eastAsia="Calibri" w:hAnsi="Times New Roman" w:cs="Times New Roman"/>
          <w:b/>
          <w:sz w:val="24"/>
          <w:szCs w:val="24"/>
          <w:lang w:val="uk-UA"/>
        </w:rPr>
      </w:pPr>
    </w:p>
    <w:p w:rsidR="001D76EC" w:rsidRPr="001D76EC" w:rsidRDefault="001D76EC" w:rsidP="001D76EC">
      <w:pPr>
        <w:tabs>
          <w:tab w:val="left" w:pos="993"/>
          <w:tab w:val="left" w:pos="1560"/>
        </w:tabs>
        <w:spacing w:after="0" w:line="240" w:lineRule="auto"/>
        <w:ind w:right="-2" w:firstLine="567"/>
        <w:jc w:val="both"/>
        <w:rPr>
          <w:rFonts w:ascii="Times New Roman" w:eastAsia="Calibri" w:hAnsi="Times New Roman" w:cs="Times New Roman"/>
          <w:sz w:val="24"/>
          <w:szCs w:val="24"/>
          <w:lang w:val="uk-UA"/>
        </w:rPr>
      </w:pPr>
      <w:r w:rsidRPr="001D76EC">
        <w:rPr>
          <w:rFonts w:ascii="Times New Roman" w:eastAsia="Calibri" w:hAnsi="Times New Roman" w:cs="Times New Roman"/>
          <w:b/>
          <w:sz w:val="24"/>
          <w:szCs w:val="24"/>
          <w:lang w:val="uk-UA"/>
        </w:rPr>
        <w:t>2. Мета використання товару</w:t>
      </w:r>
      <w:r w:rsidRPr="001D76EC">
        <w:rPr>
          <w:rFonts w:ascii="Times New Roman" w:eastAsia="Calibri" w:hAnsi="Times New Roman" w:cs="Times New Roman"/>
          <w:sz w:val="24"/>
          <w:szCs w:val="24"/>
          <w:lang w:val="uk-UA"/>
        </w:rPr>
        <w:t>: для задоволення потреб у споживанні електричної енергії об’єктів Замовника.</w:t>
      </w:r>
    </w:p>
    <w:p w:rsidR="001D76EC" w:rsidRPr="001D76EC" w:rsidRDefault="001D76EC" w:rsidP="001D76EC">
      <w:pPr>
        <w:tabs>
          <w:tab w:val="left" w:pos="993"/>
          <w:tab w:val="left" w:pos="1560"/>
        </w:tabs>
        <w:spacing w:after="0" w:line="240" w:lineRule="auto"/>
        <w:ind w:firstLine="567"/>
        <w:jc w:val="both"/>
        <w:rPr>
          <w:rFonts w:ascii="Times New Roman" w:eastAsia="Calibri" w:hAnsi="Times New Roman" w:cs="Times New Roman"/>
          <w:b/>
          <w:sz w:val="24"/>
          <w:szCs w:val="24"/>
          <w:lang w:val="uk-UA"/>
        </w:rPr>
      </w:pPr>
    </w:p>
    <w:p w:rsidR="001D76EC" w:rsidRPr="00FA659B" w:rsidRDefault="00923510" w:rsidP="00FA659B">
      <w:pPr>
        <w:tabs>
          <w:tab w:val="left" w:pos="993"/>
          <w:tab w:val="left" w:pos="1560"/>
        </w:tabs>
        <w:spacing w:after="0" w:line="240" w:lineRule="auto"/>
        <w:ind w:firstLine="567"/>
        <w:jc w:val="both"/>
        <w:rPr>
          <w:rFonts w:ascii="Times New Roman" w:eastAsia="Calibri" w:hAnsi="Times New Roman" w:cs="Times New Roman"/>
          <w:color w:val="FF0000"/>
          <w:sz w:val="24"/>
          <w:szCs w:val="24"/>
          <w:lang w:val="uk-UA"/>
        </w:rPr>
      </w:pPr>
      <w:r>
        <w:rPr>
          <w:rFonts w:ascii="Times New Roman" w:eastAsia="Calibri" w:hAnsi="Times New Roman" w:cs="Times New Roman"/>
          <w:b/>
          <w:sz w:val="24"/>
          <w:szCs w:val="24"/>
          <w:lang w:val="uk-UA"/>
        </w:rPr>
        <w:t>3. Послуги з розподілу</w:t>
      </w:r>
      <w:r w:rsidR="00FA659B">
        <w:rPr>
          <w:rFonts w:ascii="Times New Roman" w:eastAsia="Calibri" w:hAnsi="Times New Roman" w:cs="Times New Roman"/>
          <w:b/>
          <w:sz w:val="24"/>
          <w:szCs w:val="24"/>
          <w:lang w:val="uk-UA"/>
        </w:rPr>
        <w:t xml:space="preserve"> електричної енергії </w:t>
      </w:r>
      <w:r w:rsidR="001D76EC" w:rsidRPr="00FA659B">
        <w:rPr>
          <w:rFonts w:ascii="Times New Roman" w:eastAsia="Calibri" w:hAnsi="Times New Roman" w:cs="Times New Roman"/>
          <w:sz w:val="24"/>
          <w:szCs w:val="24"/>
          <w:lang w:val="uk-UA"/>
        </w:rPr>
        <w:t xml:space="preserve">сплачуються Споживачем/Замовником самостійно безпосередньо  </w:t>
      </w:r>
      <w:r w:rsidR="001D76EC" w:rsidRPr="00FA659B">
        <w:rPr>
          <w:rFonts w:ascii="Times New Roman" w:eastAsia="Calibri" w:hAnsi="Times New Roman" w:cs="Times New Roman"/>
          <w:iCs/>
          <w:color w:val="000000"/>
          <w:sz w:val="24"/>
          <w:szCs w:val="24"/>
          <w:shd w:val="clear" w:color="auto" w:fill="FFFFFF"/>
          <w:lang w:val="uk-UA" w:eastAsia="uk-UA" w:bidi="uk-UA"/>
        </w:rPr>
        <w:t xml:space="preserve">оператору системи розподілу відповідно до договору про надання послуг з розподілу, укладеним між оператором системи розподілу та </w:t>
      </w:r>
      <w:r w:rsidR="001D76EC" w:rsidRPr="00FA659B">
        <w:rPr>
          <w:rFonts w:ascii="Times New Roman" w:eastAsia="Calibri" w:hAnsi="Times New Roman" w:cs="Times New Roman"/>
          <w:sz w:val="24"/>
          <w:szCs w:val="24"/>
          <w:lang w:val="uk-UA"/>
        </w:rPr>
        <w:t>Споживачем/Замовником</w:t>
      </w:r>
      <w:r w:rsidR="001D76EC" w:rsidRPr="00FA659B">
        <w:rPr>
          <w:rFonts w:ascii="Times New Roman" w:eastAsia="Calibri" w:hAnsi="Times New Roman" w:cs="Times New Roman"/>
          <w:iCs/>
          <w:color w:val="000000"/>
          <w:sz w:val="24"/>
          <w:szCs w:val="24"/>
          <w:shd w:val="clear" w:color="auto" w:fill="FFFFFF"/>
          <w:lang w:val="uk-UA" w:eastAsia="uk-UA" w:bidi="uk-UA"/>
        </w:rPr>
        <w:t xml:space="preserve">. До ціни пропозиції учасник </w:t>
      </w:r>
      <w:r w:rsidR="001D76EC" w:rsidRPr="00FA659B">
        <w:rPr>
          <w:rFonts w:ascii="Times New Roman" w:eastAsia="Calibri" w:hAnsi="Times New Roman" w:cs="Times New Roman"/>
          <w:b/>
          <w:bCs/>
          <w:iCs/>
          <w:color w:val="000000"/>
          <w:sz w:val="24"/>
          <w:szCs w:val="24"/>
          <w:shd w:val="clear" w:color="auto" w:fill="FFFFFF"/>
          <w:lang w:val="uk-UA" w:eastAsia="uk-UA" w:bidi="uk-UA"/>
        </w:rPr>
        <w:t>не включає послуги з розподілу електричної енергії</w:t>
      </w:r>
      <w:r w:rsidR="001D76EC" w:rsidRPr="00FA659B">
        <w:rPr>
          <w:rFonts w:ascii="Times New Roman" w:eastAsia="Calibri" w:hAnsi="Times New Roman" w:cs="Times New Roman"/>
          <w:iCs/>
          <w:color w:val="000000"/>
          <w:sz w:val="24"/>
          <w:szCs w:val="24"/>
          <w:shd w:val="clear" w:color="auto" w:fill="FFFFFF"/>
          <w:lang w:val="uk-UA" w:eastAsia="uk-UA" w:bidi="uk-UA"/>
        </w:rPr>
        <w:t>.</w:t>
      </w:r>
      <w:r w:rsidR="001D76EC" w:rsidRPr="00FA659B">
        <w:rPr>
          <w:rFonts w:ascii="Times New Roman" w:eastAsia="Calibri" w:hAnsi="Times New Roman" w:cs="Times New Roman"/>
          <w:color w:val="FF0000"/>
          <w:sz w:val="24"/>
          <w:szCs w:val="24"/>
          <w:lang w:val="uk-UA"/>
        </w:rPr>
        <w:t xml:space="preserve"> </w:t>
      </w:r>
    </w:p>
    <w:p w:rsidR="001D76EC" w:rsidRPr="00FA659B" w:rsidRDefault="001D76EC" w:rsidP="001D76EC">
      <w:pPr>
        <w:tabs>
          <w:tab w:val="left" w:pos="1276"/>
        </w:tabs>
        <w:spacing w:after="0" w:line="240" w:lineRule="auto"/>
        <w:ind w:firstLine="567"/>
        <w:contextualSpacing/>
        <w:jc w:val="both"/>
        <w:rPr>
          <w:rFonts w:ascii="Times New Roman" w:eastAsia="Calibri" w:hAnsi="Times New Roman" w:cs="Times New Roman"/>
          <w:iCs/>
          <w:color w:val="000000"/>
          <w:sz w:val="24"/>
          <w:szCs w:val="24"/>
          <w:shd w:val="clear" w:color="auto" w:fill="FFFFFF"/>
          <w:lang w:val="uk-UA" w:eastAsia="uk-UA" w:bidi="uk-UA"/>
        </w:rPr>
      </w:pPr>
    </w:p>
    <w:p w:rsidR="001D76EC" w:rsidRPr="001D76EC" w:rsidRDefault="001D76EC" w:rsidP="001D76EC">
      <w:pPr>
        <w:spacing w:after="0" w:line="240" w:lineRule="auto"/>
        <w:ind w:firstLine="567"/>
        <w:rPr>
          <w:rFonts w:ascii="Times New Roman" w:eastAsia="Calibri" w:hAnsi="Times New Roman" w:cs="Times New Roman"/>
          <w:b/>
          <w:sz w:val="24"/>
          <w:szCs w:val="24"/>
          <w:lang w:val="uk-UA"/>
        </w:rPr>
      </w:pPr>
      <w:r w:rsidRPr="001D76EC">
        <w:rPr>
          <w:rFonts w:ascii="Times New Roman" w:eastAsia="Calibri" w:hAnsi="Times New Roman" w:cs="Times New Roman"/>
          <w:b/>
          <w:sz w:val="24"/>
          <w:szCs w:val="24"/>
          <w:lang w:val="uk-UA"/>
        </w:rPr>
        <w:t xml:space="preserve">4. Вимоги щодо якості електричної енергії. </w:t>
      </w:r>
    </w:p>
    <w:p w:rsidR="001D76EC" w:rsidRPr="001D76EC" w:rsidRDefault="001D76EC" w:rsidP="001D76EC">
      <w:pPr>
        <w:spacing w:after="0" w:line="240" w:lineRule="auto"/>
        <w:ind w:firstLine="567"/>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Параметри якості електричної енергії в точках приєднання Споживача у нормальних умовах експлуатації мають відповідати параметрам, визначеним у ДСТУ EN 50160:2014.Характеристики напруги електропостачання в електричних мережах загального призначення (EN 50160:2010, IDT).</w:t>
      </w:r>
    </w:p>
    <w:p w:rsidR="001D76EC" w:rsidRPr="001D76EC" w:rsidRDefault="001D76EC" w:rsidP="001D76EC">
      <w:pPr>
        <w:spacing w:after="0" w:line="240" w:lineRule="auto"/>
        <w:ind w:firstLine="567"/>
        <w:rPr>
          <w:rFonts w:ascii="Times New Roman" w:eastAsia="Calibri" w:hAnsi="Times New Roman" w:cs="Times New Roman"/>
          <w:sz w:val="24"/>
          <w:szCs w:val="24"/>
          <w:lang w:val="uk-UA"/>
        </w:rPr>
      </w:pPr>
      <w:r w:rsidRPr="001D76EC">
        <w:rPr>
          <w:rFonts w:ascii="Times New Roman" w:eastAsia="Calibri" w:hAnsi="Times New Roman" w:cs="Times New Roman"/>
          <w:sz w:val="24"/>
          <w:szCs w:val="24"/>
          <w:lang w:val="uk-UA"/>
        </w:rPr>
        <w:t>Оцінка відповідності показників якості електричної енергії проводиться на проміжку розрахункового періоду, рівного 24 годинам.</w:t>
      </w:r>
      <w:bookmarkStart w:id="0" w:name="_GoBack"/>
      <w:bookmarkEnd w:id="0"/>
    </w:p>
    <w:p w:rsidR="001D76EC" w:rsidRPr="001D76EC" w:rsidRDefault="001D76EC" w:rsidP="001D76EC">
      <w:pPr>
        <w:tabs>
          <w:tab w:val="left" w:pos="993"/>
          <w:tab w:val="left" w:pos="1560"/>
        </w:tabs>
        <w:spacing w:after="0" w:line="240" w:lineRule="auto"/>
        <w:ind w:firstLine="567"/>
        <w:rPr>
          <w:rFonts w:ascii="Times New Roman" w:eastAsia="Calibri" w:hAnsi="Times New Roman" w:cs="Times New Roman"/>
          <w:sz w:val="24"/>
          <w:szCs w:val="24"/>
          <w:lang w:val="uk-UA"/>
        </w:rPr>
      </w:pPr>
    </w:p>
    <w:p w:rsidR="001D76EC" w:rsidRPr="001D76EC" w:rsidRDefault="001D76EC" w:rsidP="001D76EC">
      <w:pPr>
        <w:tabs>
          <w:tab w:val="left" w:pos="365"/>
        </w:tabs>
        <w:spacing w:after="0" w:line="240" w:lineRule="auto"/>
        <w:ind w:left="720"/>
        <w:contextualSpacing/>
        <w:rPr>
          <w:rFonts w:ascii="Times New Roman" w:eastAsia="Calibri" w:hAnsi="Times New Roman" w:cs="Times New Roman"/>
          <w:i/>
          <w:sz w:val="24"/>
          <w:szCs w:val="24"/>
          <w:lang w:val="uk-UA"/>
        </w:rPr>
      </w:pPr>
    </w:p>
    <w:p w:rsidR="001D76EC" w:rsidRPr="001D76EC" w:rsidRDefault="001D76EC" w:rsidP="001D76EC">
      <w:pPr>
        <w:spacing w:after="0" w:line="240" w:lineRule="auto"/>
        <w:rPr>
          <w:rFonts w:ascii="Times New Roman" w:eastAsia="Calibri" w:hAnsi="Times New Roman" w:cs="Times New Roman"/>
          <w:sz w:val="24"/>
          <w:szCs w:val="24"/>
          <w:lang w:val="uk-UA"/>
        </w:rPr>
      </w:pPr>
    </w:p>
    <w:p w:rsidR="007F3D46" w:rsidRPr="001D76EC" w:rsidRDefault="001D76EC" w:rsidP="00F8744E">
      <w:pPr>
        <w:spacing w:after="0" w:line="240" w:lineRule="auto"/>
        <w:rPr>
          <w:lang w:val="uk-UA"/>
        </w:rPr>
      </w:pPr>
      <w:r w:rsidRPr="001D76EC">
        <w:rPr>
          <w:rFonts w:ascii="Times New Roman" w:eastAsia="Calibri" w:hAnsi="Times New Roman" w:cs="Times New Roman"/>
          <w:bCs/>
          <w:iCs/>
          <w:sz w:val="24"/>
          <w:szCs w:val="24"/>
          <w:lang w:val="uk-UA"/>
        </w:rPr>
        <w:br w:type="page"/>
      </w:r>
    </w:p>
    <w:sectPr w:rsidR="007F3D46" w:rsidRPr="001D76EC" w:rsidSect="00F8744E">
      <w:pgSz w:w="11906" w:h="16838"/>
      <w:pgMar w:top="142"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161"/>
    <w:rsid w:val="001D76EC"/>
    <w:rsid w:val="004A1161"/>
    <w:rsid w:val="007F3D46"/>
    <w:rsid w:val="00923510"/>
    <w:rsid w:val="00F8744E"/>
    <w:rsid w:val="00FA65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6C6C8"/>
  <w15:chartTrackingRefBased/>
  <w15:docId w15:val="{4AB15A0C-3146-4C74-9D88-218C31B47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5223</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xxx</Company>
  <LinksUpToDate>false</LinksUpToDate>
  <CharactersWithSpaces>6127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2022-07-30T08:16:00Z</dcterms:created>
  <dcterms:modified xsi:type="dcterms:W3CDTF">2022-07-30T08:16:00Z</dcterms:modified>
</cp:coreProperties>
</file>