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3DCC8E16" w:rsidR="00124243" w:rsidRPr="005B50A5" w:rsidRDefault="00124243" w:rsidP="00124243">
      <w:pPr>
        <w:jc w:val="center"/>
        <w:rPr>
          <w:b/>
          <w:bCs/>
          <w:spacing w:val="-1"/>
          <w:sz w:val="22"/>
          <w:szCs w:val="22"/>
        </w:rPr>
      </w:pPr>
      <w:r w:rsidRPr="005B50A5">
        <w:rPr>
          <w:b/>
          <w:bCs/>
          <w:spacing w:val="-1"/>
          <w:sz w:val="22"/>
          <w:szCs w:val="22"/>
        </w:rPr>
        <w:t>про за</w:t>
      </w:r>
      <w:r w:rsidR="00922E9E">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6AEC046" w:rsidR="00124243" w:rsidRPr="004E6DDE" w:rsidRDefault="00124243" w:rsidP="00E85EEC">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4E6DDE">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4E6DDE" w:rsidRPr="004E6DDE">
        <w:rPr>
          <w:rFonts w:ascii="Times New Roman" w:eastAsia="Times New Roman" w:hAnsi="Times New Roman"/>
          <w:b/>
          <w:snapToGrid w:val="0"/>
          <w:lang w:val="uk-UA" w:eastAsia="ru-RU"/>
        </w:rPr>
        <w:t xml:space="preserve">код ДК 021:2015: 03410000-7:Деревина –  Стійка руднична Ø 14-19см L4м </w:t>
      </w:r>
      <w:r w:rsidRPr="004E6DDE">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646FC64" w14:textId="313CDD4C" w:rsidR="00314906" w:rsidRPr="009B2DC5" w:rsidRDefault="00314906" w:rsidP="00314906">
      <w:pPr>
        <w:ind w:hanging="426"/>
        <w:rPr>
          <w:sz w:val="22"/>
          <w:szCs w:val="22"/>
          <w:lang w:eastAsia="uk-UA"/>
        </w:rPr>
      </w:pPr>
      <w:r>
        <w:rPr>
          <w:b/>
          <w:sz w:val="22"/>
          <w:szCs w:val="22"/>
        </w:rPr>
        <w:t xml:space="preserve">4.2. </w:t>
      </w:r>
      <w:r w:rsidR="00124243" w:rsidRPr="00745320">
        <w:rPr>
          <w:b/>
          <w:sz w:val="22"/>
          <w:szCs w:val="22"/>
        </w:rPr>
        <w:t>Умови поставки Продукції</w:t>
      </w:r>
      <w:r w:rsidR="00124243" w:rsidRPr="00745320">
        <w:rPr>
          <w:sz w:val="22"/>
          <w:szCs w:val="22"/>
        </w:rPr>
        <w:t> –</w:t>
      </w:r>
      <w:r w:rsidR="00F46A2F" w:rsidRPr="00745320">
        <w:rPr>
          <w:sz w:val="22"/>
          <w:szCs w:val="22"/>
        </w:rPr>
        <w:t xml:space="preserve"> </w:t>
      </w:r>
      <w:r w:rsidRPr="009B2DC5">
        <w:rPr>
          <w:sz w:val="22"/>
          <w:szCs w:val="22"/>
          <w:lang w:eastAsia="uk-UA"/>
        </w:rPr>
        <w:t>протягом 3 (трьох) календарних днів з дати отримання заявки від Покупця.</w:t>
      </w:r>
    </w:p>
    <w:p w14:paraId="353B429D" w14:textId="3EFDBD65" w:rsidR="00124243" w:rsidRPr="00745320" w:rsidRDefault="00C35213" w:rsidP="00CD6722">
      <w:pPr>
        <w:ind w:firstLine="0"/>
        <w:rPr>
          <w:sz w:val="22"/>
          <w:szCs w:val="22"/>
        </w:rPr>
      </w:pPr>
      <w:r>
        <w:rPr>
          <w:sz w:val="22"/>
          <w:szCs w:val="22"/>
        </w:rPr>
        <w:t xml:space="preserve">Постачання продукції здійснюється на умовах </w:t>
      </w:r>
      <w:r>
        <w:rPr>
          <w:sz w:val="22"/>
          <w:szCs w:val="22"/>
          <w:lang w:val="en-US"/>
        </w:rPr>
        <w:t>DDP</w:t>
      </w:r>
      <w:r>
        <w:rPr>
          <w:sz w:val="22"/>
          <w:szCs w:val="22"/>
        </w:rPr>
        <w:t xml:space="preserve"> на </w:t>
      </w:r>
      <w:r w:rsidR="00CD6722" w:rsidRPr="00887852">
        <w:rPr>
          <w:sz w:val="22"/>
          <w:szCs w:val="22"/>
        </w:rPr>
        <w:t xml:space="preserve">Шахта </w:t>
      </w:r>
      <w:r w:rsidR="00CD6722">
        <w:rPr>
          <w:sz w:val="22"/>
          <w:szCs w:val="22"/>
        </w:rPr>
        <w:t>«</w:t>
      </w:r>
      <w:r w:rsidR="00CD6722" w:rsidRPr="00887852">
        <w:rPr>
          <w:sz w:val="22"/>
          <w:szCs w:val="22"/>
        </w:rPr>
        <w:t>Алмазна</w:t>
      </w:r>
      <w:r w:rsidR="00CD6722">
        <w:rPr>
          <w:sz w:val="22"/>
          <w:szCs w:val="22"/>
        </w:rPr>
        <w:t>»</w:t>
      </w:r>
      <w:r w:rsidR="00CD6722" w:rsidRPr="00887852">
        <w:rPr>
          <w:sz w:val="22"/>
          <w:szCs w:val="22"/>
        </w:rPr>
        <w:t xml:space="preserve">, </w:t>
      </w:r>
      <w:r w:rsidR="00CD6722">
        <w:rPr>
          <w:sz w:val="22"/>
          <w:szCs w:val="22"/>
        </w:rPr>
        <w:t>85001 ,</w:t>
      </w:r>
      <w:r w:rsidR="00CD6722" w:rsidRPr="00887852">
        <w:rPr>
          <w:sz w:val="22"/>
          <w:szCs w:val="22"/>
        </w:rPr>
        <w:t>Донецька обл., м. Добропілля, вул. Низова, 1А</w:t>
      </w:r>
      <w:r w:rsidR="00CD6722">
        <w:rPr>
          <w:sz w:val="22"/>
          <w:szCs w:val="22"/>
        </w:rPr>
        <w:t xml:space="preserve">; </w:t>
      </w:r>
      <w:r w:rsidR="00CD6722" w:rsidRPr="009B2DC5">
        <w:rPr>
          <w:sz w:val="22"/>
          <w:szCs w:val="22"/>
        </w:rPr>
        <w:t>Шахта «Добропільська», Донецька обл., м. Добропілля, вул. Київська, 1Г</w:t>
      </w:r>
      <w:r w:rsidR="00CD6722">
        <w:rPr>
          <w:sz w:val="22"/>
          <w:szCs w:val="22"/>
        </w:rPr>
        <w:t xml:space="preserve">; </w:t>
      </w:r>
      <w:r w:rsidR="00CD6722" w:rsidRPr="003F1375">
        <w:rPr>
          <w:sz w:val="22"/>
          <w:szCs w:val="22"/>
        </w:rPr>
        <w:t xml:space="preserve">Шахта </w:t>
      </w:r>
      <w:r w:rsidR="00CD6722">
        <w:rPr>
          <w:sz w:val="22"/>
          <w:szCs w:val="22"/>
        </w:rPr>
        <w:t>«Новодонецька»</w:t>
      </w:r>
      <w:r w:rsidR="00CD6722" w:rsidRPr="00CD6722">
        <w:rPr>
          <w:sz w:val="22"/>
          <w:szCs w:val="22"/>
        </w:rPr>
        <w:t xml:space="preserve">, </w:t>
      </w:r>
      <w:r w:rsidR="00CD6722" w:rsidRPr="003F1375">
        <w:rPr>
          <w:sz w:val="22"/>
          <w:szCs w:val="22"/>
        </w:rPr>
        <w:t>Донецька обл., Олександрівський р-н, село Курицине, вул.Робоча, будинок 15</w:t>
      </w:r>
      <w:r w:rsidR="00922E9E">
        <w:rPr>
          <w:sz w:val="22"/>
          <w:szCs w:val="22"/>
        </w:rPr>
        <w:t>(</w:t>
      </w:r>
      <w:r w:rsidR="00922E9E" w:rsidRPr="00416CE9">
        <w:rPr>
          <w:sz w:val="22"/>
          <w:szCs w:val="22"/>
        </w:rPr>
        <w:t xml:space="preserve"> </w:t>
      </w:r>
      <w:r w:rsidR="00922E9E" w:rsidRPr="00230603">
        <w:rPr>
          <w:sz w:val="22"/>
          <w:szCs w:val="22"/>
        </w:rPr>
        <w:t>відповідно до вимог Міжнаро</w:t>
      </w:r>
      <w:r w:rsidR="00922E9E">
        <w:rPr>
          <w:sz w:val="22"/>
          <w:szCs w:val="22"/>
        </w:rPr>
        <w:t xml:space="preserve">дних правил «Інкотермс – 2010») </w:t>
      </w:r>
      <w:r w:rsidR="00124243" w:rsidRPr="00745320">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827012">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2701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27012">
      <w:pPr>
        <w:pStyle w:val="a9"/>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75A1D949" w14:textId="3D99005F" w:rsidR="00827012" w:rsidRPr="00827012" w:rsidRDefault="00827012" w:rsidP="00827012">
      <w:pPr>
        <w:pStyle w:val="a9"/>
        <w:numPr>
          <w:ilvl w:val="1"/>
          <w:numId w:val="26"/>
        </w:numPr>
        <w:spacing w:after="0" w:line="240" w:lineRule="auto"/>
        <w:ind w:left="0" w:hanging="426"/>
        <w:rPr>
          <w:rFonts w:ascii="Times New Roman" w:eastAsia="Times New Roman" w:hAnsi="Times New Roman"/>
          <w:snapToGrid w:val="0"/>
          <w:lang w:val="uk-UA" w:eastAsia="ru-RU"/>
        </w:rPr>
      </w:pPr>
      <w:r w:rsidRPr="00827012">
        <w:rPr>
          <w:rFonts w:ascii="Times New Roman" w:eastAsia="Times New Roman" w:hAnsi="Times New Roman"/>
          <w:snapToGrid w:val="0"/>
          <w:lang w:val="uk-UA" w:eastAsia="ru-RU"/>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p>
    <w:p w14:paraId="6BA0CAB5" w14:textId="77777777" w:rsidR="00124243" w:rsidRPr="00997CEA" w:rsidRDefault="00124243" w:rsidP="0082701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2701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2701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2701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2701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2701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2701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2701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2701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2701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2701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lastRenderedPageBreak/>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6B7BA08F" w14:textId="599EB3A8" w:rsidR="00827012" w:rsidRPr="000719BC" w:rsidRDefault="00745320" w:rsidP="00827012">
      <w:pPr>
        <w:tabs>
          <w:tab w:val="left" w:pos="426"/>
          <w:tab w:val="left" w:pos="567"/>
        </w:tabs>
        <w:ind w:hanging="426"/>
        <w:rPr>
          <w:b/>
          <w:bCs/>
          <w:sz w:val="22"/>
          <w:szCs w:val="22"/>
        </w:rPr>
      </w:pPr>
      <w:r>
        <w:rPr>
          <w:b/>
          <w:bCs/>
          <w:sz w:val="22"/>
          <w:szCs w:val="22"/>
        </w:rPr>
        <w:t xml:space="preserve">5.3. </w:t>
      </w:r>
      <w:r w:rsidR="00124243" w:rsidRPr="00D50582">
        <w:rPr>
          <w:b/>
          <w:bCs/>
          <w:sz w:val="22"/>
          <w:szCs w:val="22"/>
        </w:rPr>
        <w:t>Розрахунки за поставлену Постачальником Продукцію за цим Договором здійснюються Покупцем</w:t>
      </w:r>
      <w:r>
        <w:rPr>
          <w:b/>
          <w:bCs/>
          <w:sz w:val="22"/>
          <w:szCs w:val="22"/>
        </w:rPr>
        <w:t xml:space="preserve"> </w:t>
      </w:r>
      <w:r w:rsidR="004E6DDE" w:rsidRPr="004E6DDE">
        <w:rPr>
          <w:b/>
          <w:sz w:val="22"/>
          <w:szCs w:val="22"/>
        </w:rPr>
        <w:t xml:space="preserve">протягом </w:t>
      </w:r>
      <w:r w:rsidR="00C14A42">
        <w:rPr>
          <w:rFonts w:eastAsia="Calibri"/>
          <w:b/>
          <w:sz w:val="22"/>
          <w:szCs w:val="22"/>
        </w:rPr>
        <w:t>90</w:t>
      </w:r>
      <w:r w:rsidR="004E6DDE" w:rsidRPr="004E6DDE">
        <w:rPr>
          <w:rFonts w:eastAsia="Calibri"/>
          <w:b/>
          <w:sz w:val="22"/>
          <w:szCs w:val="22"/>
        </w:rPr>
        <w:t xml:space="preserve"> (</w:t>
      </w:r>
      <w:proofErr w:type="spellStart"/>
      <w:r w:rsidR="00C14A42">
        <w:rPr>
          <w:rFonts w:eastAsia="Calibri"/>
          <w:b/>
          <w:sz w:val="22"/>
          <w:szCs w:val="22"/>
        </w:rPr>
        <w:t>дев</w:t>
      </w:r>
      <w:proofErr w:type="spellEnd"/>
      <w:r w:rsidR="004E6DDE" w:rsidRPr="004E6DDE">
        <w:rPr>
          <w:rFonts w:eastAsia="Calibri"/>
          <w:b/>
          <w:sz w:val="22"/>
          <w:szCs w:val="22"/>
          <w:lang w:val="ru-RU"/>
        </w:rPr>
        <w:t>’</w:t>
      </w:r>
      <w:r w:rsidR="004E6DDE" w:rsidRPr="004E6DDE">
        <w:rPr>
          <w:rFonts w:eastAsia="Calibri"/>
          <w:b/>
          <w:sz w:val="22"/>
          <w:szCs w:val="22"/>
        </w:rPr>
        <w:t>я</w:t>
      </w:r>
      <w:r w:rsidR="00C14A42">
        <w:rPr>
          <w:rFonts w:eastAsia="Calibri"/>
          <w:b/>
          <w:sz w:val="22"/>
          <w:szCs w:val="22"/>
        </w:rPr>
        <w:t>носто</w:t>
      </w:r>
      <w:r w:rsidR="004E6DDE" w:rsidRPr="004E6DDE">
        <w:rPr>
          <w:rFonts w:eastAsia="Calibri"/>
          <w:b/>
          <w:sz w:val="22"/>
          <w:szCs w:val="22"/>
        </w:rPr>
        <w:t>)</w:t>
      </w:r>
      <w:r w:rsidR="004E6DDE" w:rsidRPr="004E6DDE">
        <w:rPr>
          <w:b/>
          <w:sz w:val="22"/>
          <w:szCs w:val="22"/>
        </w:rPr>
        <w:t xml:space="preserve"> </w:t>
      </w:r>
      <w:proofErr w:type="spellStart"/>
      <w:r w:rsidR="004E6DDE" w:rsidRPr="004E6DDE">
        <w:rPr>
          <w:b/>
          <w:sz w:val="22"/>
          <w:szCs w:val="22"/>
          <w:lang w:val="ru-RU"/>
        </w:rPr>
        <w:t>календарних</w:t>
      </w:r>
      <w:proofErr w:type="spellEnd"/>
      <w:r w:rsidR="004E6DDE" w:rsidRPr="004E6DDE">
        <w:rPr>
          <w:b/>
          <w:sz w:val="22"/>
          <w:szCs w:val="22"/>
        </w:rPr>
        <w:t xml:space="preserve"> днів з дати поставки продукції на склад Покупця на підставі первинної документації</w:t>
      </w:r>
      <w:r w:rsidRPr="004E6DDE">
        <w:rPr>
          <w:b/>
          <w:sz w:val="22"/>
          <w:szCs w:val="22"/>
        </w:rPr>
        <w:t>.</w:t>
      </w:r>
      <w:r w:rsidR="00827012">
        <w:rPr>
          <w:b/>
          <w:sz w:val="22"/>
          <w:szCs w:val="22"/>
        </w:rPr>
        <w:t xml:space="preserve"> </w:t>
      </w:r>
      <w:r w:rsidR="00827012" w:rsidRPr="00E82B30">
        <w:rPr>
          <w:b/>
          <w:bCs/>
          <w:sz w:val="22"/>
          <w:szCs w:val="22"/>
        </w:rPr>
        <w:t xml:space="preserve">Оплата поставленої Продукції здійснюється Покупцем виключно за умови </w:t>
      </w:r>
      <w:r w:rsidR="00827012"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35942205" w:rsidR="00124243" w:rsidRPr="00922E9E" w:rsidRDefault="00D45112" w:rsidP="00922E9E">
      <w:pPr>
        <w:pStyle w:val="a9"/>
        <w:numPr>
          <w:ilvl w:val="1"/>
          <w:numId w:val="33"/>
        </w:numPr>
        <w:spacing w:after="0" w:line="240" w:lineRule="auto"/>
        <w:ind w:left="0" w:hanging="426"/>
        <w:rPr>
          <w:rFonts w:ascii="Times New Roman" w:eastAsia="Times New Roman" w:hAnsi="Times New Roman"/>
          <w:snapToGrid w:val="0"/>
          <w:lang w:val="uk-UA" w:eastAsia="ru-RU"/>
        </w:rPr>
      </w:pPr>
      <w:r w:rsidRPr="00922E9E">
        <w:rPr>
          <w:rFonts w:ascii="Times New Roman" w:eastAsia="Times New Roman" w:hAnsi="Times New Roman"/>
          <w:snapToGrid w:val="0"/>
          <w:lang w:val="uk-UA" w:eastAsia="ru-RU"/>
        </w:rPr>
        <w:t xml:space="preserve">  </w:t>
      </w:r>
      <w:r w:rsidR="00124243" w:rsidRPr="00922E9E">
        <w:rPr>
          <w:rFonts w:ascii="Times New Roman" w:eastAsia="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922E9E">
      <w:pPr>
        <w:pStyle w:val="a9"/>
        <w:numPr>
          <w:ilvl w:val="1"/>
          <w:numId w:val="33"/>
        </w:numPr>
        <w:spacing w:after="0" w:line="240" w:lineRule="auto"/>
        <w:ind w:left="0" w:hanging="426"/>
        <w:rPr>
          <w:rFonts w:ascii="Times New Roman" w:hAnsi="Times New Roman"/>
          <w:snapToGrid w:val="0"/>
          <w:lang w:val="uk-UA" w:eastAsia="ru-RU"/>
        </w:rPr>
      </w:pPr>
      <w:r w:rsidRPr="00922E9E">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r w:rsidRPr="00745320">
        <w:rPr>
          <w:rFonts w:ascii="Times New Roman" w:hAnsi="Times New Roman"/>
          <w:snapToGrid w:val="0"/>
          <w:lang w:val="uk-UA" w:eastAsia="ru-RU"/>
        </w:rPr>
        <w:t>.</w:t>
      </w:r>
    </w:p>
    <w:p w14:paraId="4F31722C" w14:textId="77777777" w:rsidR="00124243" w:rsidRPr="00997CEA" w:rsidRDefault="00124243" w:rsidP="00922E9E">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1F6AC289"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4E6DDE">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3CB45355"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922E9E">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0AF9D06D" w:rsidR="00124243" w:rsidRPr="00997CEA" w:rsidRDefault="00314906"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6CEDAF08" w14:textId="77777777" w:rsidR="00922E9E" w:rsidRDefault="00124243" w:rsidP="00D26BE3">
            <w:pPr>
              <w:spacing w:after="60"/>
              <w:rPr>
                <w:sz w:val="22"/>
                <w:szCs w:val="22"/>
              </w:rPr>
            </w:pPr>
            <w:r w:rsidRPr="0008511A">
              <w:rPr>
                <w:sz w:val="22"/>
                <w:szCs w:val="22"/>
              </w:rPr>
              <w:lastRenderedPageBreak/>
              <w:t>‌</w:t>
            </w:r>
            <w:r w:rsidR="00314906">
              <w:rPr>
                <w:sz w:val="22"/>
                <w:szCs w:val="22"/>
              </w:rPr>
              <w:t xml:space="preserve">   </w:t>
            </w:r>
          </w:p>
          <w:p w14:paraId="17EE47ED" w14:textId="77777777" w:rsidR="00922E9E" w:rsidRDefault="00922E9E" w:rsidP="00D26BE3">
            <w:pPr>
              <w:spacing w:after="60"/>
              <w:rPr>
                <w:sz w:val="22"/>
                <w:szCs w:val="22"/>
              </w:rPr>
            </w:pPr>
          </w:p>
          <w:p w14:paraId="2B4A0845" w14:textId="77777777" w:rsidR="00922E9E" w:rsidRDefault="00922E9E" w:rsidP="00D26BE3">
            <w:pPr>
              <w:spacing w:after="60"/>
              <w:rPr>
                <w:sz w:val="22"/>
                <w:szCs w:val="22"/>
              </w:rPr>
            </w:pPr>
          </w:p>
          <w:p w14:paraId="522C093F" w14:textId="77777777" w:rsidR="00922E9E" w:rsidRDefault="00922E9E" w:rsidP="00D26BE3">
            <w:pPr>
              <w:spacing w:after="60"/>
              <w:rPr>
                <w:sz w:val="22"/>
                <w:szCs w:val="22"/>
              </w:rPr>
            </w:pPr>
          </w:p>
          <w:p w14:paraId="7E6B88FB" w14:textId="77777777" w:rsidR="00922E9E" w:rsidRDefault="00922E9E" w:rsidP="00D26BE3">
            <w:pPr>
              <w:spacing w:after="60"/>
              <w:rPr>
                <w:sz w:val="22"/>
                <w:szCs w:val="22"/>
              </w:rPr>
            </w:pPr>
          </w:p>
          <w:p w14:paraId="7E72EFE1" w14:textId="77777777" w:rsidR="00922E9E" w:rsidRDefault="00922E9E" w:rsidP="00D26BE3">
            <w:pPr>
              <w:spacing w:after="60"/>
              <w:rPr>
                <w:sz w:val="22"/>
                <w:szCs w:val="22"/>
              </w:rPr>
            </w:pPr>
          </w:p>
          <w:p w14:paraId="1A697DC1" w14:textId="77777777" w:rsidR="00922E9E" w:rsidRDefault="00922E9E" w:rsidP="00D26BE3">
            <w:pPr>
              <w:spacing w:after="60"/>
              <w:rPr>
                <w:sz w:val="22"/>
                <w:szCs w:val="22"/>
              </w:rPr>
            </w:pPr>
          </w:p>
          <w:p w14:paraId="6533D220" w14:textId="7560A6DC" w:rsidR="00124243" w:rsidRDefault="00314906" w:rsidP="00D26BE3">
            <w:pPr>
              <w:spacing w:after="60"/>
              <w:rPr>
                <w:sz w:val="22"/>
                <w:szCs w:val="22"/>
              </w:rPr>
            </w:pPr>
            <w:r>
              <w:rPr>
                <w:sz w:val="22"/>
                <w:szCs w:val="22"/>
              </w:rPr>
              <w:t xml:space="preserve">  Додаток №1</w:t>
            </w:r>
          </w:p>
          <w:p w14:paraId="5DF70F1A" w14:textId="72A76F7A" w:rsidR="00314906" w:rsidRPr="0008511A" w:rsidRDefault="00314906" w:rsidP="00314906">
            <w:pPr>
              <w:jc w:val="center"/>
              <w:rPr>
                <w:sz w:val="22"/>
                <w:szCs w:val="22"/>
              </w:rPr>
            </w:pPr>
            <w:r>
              <w:rPr>
                <w:sz w:val="22"/>
                <w:szCs w:val="22"/>
              </w:rPr>
              <w:t>до договору № ______від_______</w:t>
            </w:r>
            <w:r w:rsidRPr="00F1700A">
              <w:rPr>
                <w:sz w:val="22"/>
                <w:szCs w:val="22"/>
              </w:rPr>
              <w:t xml:space="preserve"> </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4EAA75D6" w:rsidR="00124243" w:rsidRDefault="00922E9E" w:rsidP="00124243">
      <w:pPr>
        <w:pStyle w:val="a6"/>
        <w:rPr>
          <w:rFonts w:ascii="Times New Roman" w:eastAsia="Times New Roman" w:hAnsi="Times New Roman" w:cs="Times New Roman"/>
          <w:b w:val="0"/>
          <w:snapToGrid w:val="0"/>
          <w:sz w:val="22"/>
          <w:szCs w:val="22"/>
          <w:lang w:val="uk-UA" w:eastAsia="ru-RU"/>
        </w:rPr>
      </w:pPr>
      <w:r>
        <w:rPr>
          <w:rFonts w:ascii="Times New Roman" w:eastAsia="Times New Roman" w:hAnsi="Times New Roman" w:cs="Times New Roman"/>
          <w:b w:val="0"/>
          <w:snapToGrid w:val="0"/>
          <w:sz w:val="22"/>
          <w:szCs w:val="22"/>
          <w:lang w:val="uk-UA" w:eastAsia="ru-RU"/>
        </w:rPr>
        <w:t>укладеного на підставі процедури закупівлі</w:t>
      </w:r>
    </w:p>
    <w:tbl>
      <w:tblPr>
        <w:tblW w:w="96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402"/>
        <w:gridCol w:w="709"/>
        <w:gridCol w:w="709"/>
        <w:gridCol w:w="1134"/>
        <w:gridCol w:w="1134"/>
        <w:gridCol w:w="1984"/>
      </w:tblGrid>
      <w:tr w:rsidR="004E6DDE" w:rsidRPr="00197BF6" w14:paraId="51006BE3" w14:textId="0FC77369" w:rsidTr="004E6DDE">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4E6DDE" w:rsidRPr="00745320" w:rsidRDefault="004E6DDE" w:rsidP="00745320">
            <w:pPr>
              <w:ind w:hanging="51"/>
              <w:jc w:val="center"/>
              <w:rPr>
                <w:b/>
                <w:bCs/>
                <w:sz w:val="22"/>
                <w:szCs w:val="22"/>
              </w:rPr>
            </w:pPr>
            <w:r w:rsidRPr="00745320">
              <w:rPr>
                <w:b/>
                <w:bCs/>
                <w:sz w:val="22"/>
                <w:szCs w:val="22"/>
              </w:rPr>
              <w:t>№  п/п</w:t>
            </w:r>
          </w:p>
        </w:tc>
        <w:tc>
          <w:tcPr>
            <w:tcW w:w="3402" w:type="dxa"/>
            <w:tcBorders>
              <w:top w:val="single" w:sz="6" w:space="0" w:color="auto"/>
              <w:left w:val="single" w:sz="6" w:space="0" w:color="auto"/>
              <w:bottom w:val="single" w:sz="6" w:space="0" w:color="auto"/>
              <w:right w:val="single" w:sz="6" w:space="0" w:color="auto"/>
            </w:tcBorders>
            <w:vAlign w:val="center"/>
          </w:tcPr>
          <w:p w14:paraId="10E48462" w14:textId="77777777" w:rsidR="004E6DDE" w:rsidRPr="00197BF6" w:rsidRDefault="004E6DDE" w:rsidP="00892ACA">
            <w:pPr>
              <w:ind w:firstLine="0"/>
              <w:jc w:val="center"/>
              <w:rPr>
                <w:b/>
                <w:bCs/>
                <w:sz w:val="22"/>
                <w:szCs w:val="22"/>
              </w:rPr>
            </w:pPr>
            <w:r w:rsidRPr="00197BF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29B765EA" w14:textId="77777777" w:rsidR="004E6DDE" w:rsidRPr="00C33906" w:rsidRDefault="004E6DDE" w:rsidP="00892ACA">
            <w:pPr>
              <w:ind w:firstLine="0"/>
              <w:jc w:val="center"/>
              <w:rPr>
                <w:bCs/>
                <w:sz w:val="22"/>
                <w:szCs w:val="22"/>
              </w:rPr>
            </w:pPr>
            <w:r w:rsidRPr="00C33906">
              <w:rPr>
                <w:bCs/>
                <w:sz w:val="22"/>
                <w:szCs w:val="22"/>
              </w:rPr>
              <w:t>Од. вим.</w:t>
            </w:r>
          </w:p>
        </w:tc>
        <w:tc>
          <w:tcPr>
            <w:tcW w:w="709" w:type="dxa"/>
            <w:tcBorders>
              <w:top w:val="single" w:sz="6" w:space="0" w:color="auto"/>
              <w:left w:val="single" w:sz="6" w:space="0" w:color="auto"/>
              <w:bottom w:val="single" w:sz="6" w:space="0" w:color="auto"/>
              <w:right w:val="single" w:sz="4" w:space="0" w:color="auto"/>
            </w:tcBorders>
            <w:vAlign w:val="center"/>
          </w:tcPr>
          <w:p w14:paraId="7BCD9254" w14:textId="77777777" w:rsidR="004E6DDE" w:rsidRPr="00C33906" w:rsidRDefault="004E6DDE"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187395EE" w14:textId="77777777" w:rsidR="004E6DDE" w:rsidRPr="00197BF6" w:rsidRDefault="004E6DDE"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4E6DDE" w:rsidRPr="00197BF6" w:rsidRDefault="004E6DDE" w:rsidP="00892ACA">
            <w:pPr>
              <w:ind w:firstLine="0"/>
              <w:jc w:val="center"/>
              <w:rPr>
                <w:b/>
                <w:bCs/>
                <w:sz w:val="22"/>
                <w:szCs w:val="22"/>
              </w:rPr>
            </w:pPr>
            <w:r w:rsidRPr="00197BF6">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71A333EC" w14:textId="0AF29D60" w:rsidR="004E6DDE" w:rsidRPr="00197BF6" w:rsidRDefault="004E6DDE" w:rsidP="00892ACA">
            <w:pPr>
              <w:ind w:firstLine="0"/>
              <w:jc w:val="center"/>
              <w:rPr>
                <w:b/>
                <w:bCs/>
                <w:sz w:val="22"/>
                <w:szCs w:val="22"/>
              </w:rPr>
            </w:pPr>
            <w:r>
              <w:rPr>
                <w:b/>
                <w:bCs/>
                <w:sz w:val="22"/>
                <w:szCs w:val="22"/>
              </w:rPr>
              <w:t>Місце поставки</w:t>
            </w:r>
          </w:p>
        </w:tc>
      </w:tr>
      <w:tr w:rsidR="004E6DDE" w:rsidRPr="00197BF6" w14:paraId="503C4752" w14:textId="1360FD27" w:rsidTr="004E6DDE">
        <w:tc>
          <w:tcPr>
            <w:tcW w:w="559" w:type="dxa"/>
            <w:tcBorders>
              <w:top w:val="single" w:sz="6" w:space="0" w:color="auto"/>
              <w:left w:val="single" w:sz="6" w:space="0" w:color="auto"/>
              <w:bottom w:val="single" w:sz="6" w:space="0" w:color="auto"/>
              <w:right w:val="single" w:sz="6" w:space="0" w:color="auto"/>
            </w:tcBorders>
            <w:vAlign w:val="center"/>
          </w:tcPr>
          <w:p w14:paraId="6B2BDF88" w14:textId="68F52B08" w:rsidR="004E6DDE" w:rsidRPr="004E6DDE" w:rsidRDefault="004E6DDE" w:rsidP="00CD6722">
            <w:pPr>
              <w:pStyle w:val="a9"/>
              <w:ind w:hanging="694"/>
              <w:rPr>
                <w:rFonts w:ascii="Times New Roman" w:hAnsi="Times New Roman"/>
                <w:bCs/>
                <w:lang w:val="uk-UA"/>
              </w:rPr>
            </w:pPr>
            <w:r>
              <w:rPr>
                <w:rFonts w:ascii="Times New Roman" w:hAnsi="Times New Roman"/>
                <w:bCs/>
                <w:lang w:val="uk-UA"/>
              </w:rPr>
              <w:t>1</w:t>
            </w:r>
          </w:p>
        </w:tc>
        <w:tc>
          <w:tcPr>
            <w:tcW w:w="3402" w:type="dxa"/>
            <w:tcBorders>
              <w:top w:val="single" w:sz="6" w:space="0" w:color="auto"/>
              <w:left w:val="single" w:sz="6" w:space="0" w:color="auto"/>
              <w:bottom w:val="single" w:sz="6" w:space="0" w:color="auto"/>
              <w:right w:val="single" w:sz="6" w:space="0" w:color="auto"/>
            </w:tcBorders>
            <w:vAlign w:val="center"/>
          </w:tcPr>
          <w:p w14:paraId="0D2B5ACC" w14:textId="68B4B5ED" w:rsidR="004E6DDE" w:rsidRPr="004E6DDE" w:rsidRDefault="004E6DDE" w:rsidP="004E6DDE">
            <w:pPr>
              <w:ind w:firstLine="34"/>
              <w:rPr>
                <w:rFonts w:eastAsia="Calibri"/>
                <w:sz w:val="22"/>
                <w:szCs w:val="22"/>
                <w:lang w:eastAsia="en-US"/>
              </w:rPr>
            </w:pPr>
            <w:r w:rsidRPr="008212F0">
              <w:rPr>
                <w:sz w:val="22"/>
                <w:szCs w:val="22"/>
              </w:rPr>
              <w:t>Стійка руднична Ø 14-19см L4м</w:t>
            </w:r>
            <w:r w:rsidRPr="008212F0">
              <w:rPr>
                <w:rFonts w:eastAsia="Calibri"/>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5346F749" w14:textId="6719D6A8" w:rsidR="004E6DDE" w:rsidRDefault="004E6DDE" w:rsidP="00CD6722">
            <w:pPr>
              <w:ind w:firstLine="0"/>
              <w:jc w:val="left"/>
              <w:rPr>
                <w:color w:val="000000"/>
                <w:sz w:val="22"/>
                <w:szCs w:val="22"/>
                <w:lang w:val="ru-RU" w:eastAsia="uk-UA"/>
              </w:rPr>
            </w:pPr>
            <w:r>
              <w:rPr>
                <w:color w:val="000000"/>
                <w:sz w:val="22"/>
                <w:szCs w:val="22"/>
                <w:lang w:val="ru-RU" w:eastAsia="uk-UA"/>
              </w:rPr>
              <w:t>м</w:t>
            </w:r>
            <w:r w:rsidRPr="008212F0">
              <w:rPr>
                <w:color w:val="000000"/>
                <w:sz w:val="22"/>
                <w:szCs w:val="22"/>
                <w:vertAlign w:val="superscript"/>
                <w:lang w:val="ru-RU" w:eastAsia="uk-UA"/>
              </w:rPr>
              <w:t>3</w:t>
            </w:r>
          </w:p>
        </w:tc>
        <w:tc>
          <w:tcPr>
            <w:tcW w:w="709" w:type="dxa"/>
            <w:tcBorders>
              <w:top w:val="single" w:sz="6" w:space="0" w:color="auto"/>
              <w:left w:val="single" w:sz="6" w:space="0" w:color="auto"/>
              <w:bottom w:val="single" w:sz="6" w:space="0" w:color="auto"/>
              <w:right w:val="single" w:sz="4" w:space="0" w:color="auto"/>
            </w:tcBorders>
            <w:vAlign w:val="center"/>
          </w:tcPr>
          <w:p w14:paraId="648987AE" w14:textId="4611115F" w:rsidR="004E6DDE" w:rsidRDefault="004E6DDE" w:rsidP="00CD6722">
            <w:pPr>
              <w:ind w:firstLine="0"/>
              <w:jc w:val="left"/>
              <w:rPr>
                <w:color w:val="000000"/>
                <w:sz w:val="22"/>
                <w:szCs w:val="22"/>
                <w:lang w:val="ru-RU" w:eastAsia="uk-UA"/>
              </w:rPr>
            </w:pPr>
            <w:r>
              <w:rPr>
                <w:color w:val="000000"/>
                <w:sz w:val="22"/>
                <w:szCs w:val="22"/>
                <w:lang w:val="ru-RU" w:eastAsia="uk-UA"/>
              </w:rPr>
              <w:t>200</w:t>
            </w:r>
          </w:p>
        </w:tc>
        <w:tc>
          <w:tcPr>
            <w:tcW w:w="1134" w:type="dxa"/>
            <w:tcBorders>
              <w:top w:val="single" w:sz="4" w:space="0" w:color="auto"/>
              <w:left w:val="single" w:sz="4" w:space="0" w:color="auto"/>
              <w:bottom w:val="single" w:sz="4" w:space="0" w:color="auto"/>
              <w:right w:val="single" w:sz="4" w:space="0" w:color="auto"/>
            </w:tcBorders>
          </w:tcPr>
          <w:p w14:paraId="0B270817" w14:textId="77777777" w:rsidR="004E6DDE" w:rsidRPr="00197BF6" w:rsidRDefault="004E6DDE" w:rsidP="00CD6722">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E6CAE" w14:textId="77777777" w:rsidR="004E6DDE" w:rsidRPr="00197BF6" w:rsidRDefault="004E6DDE" w:rsidP="00CD6722">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FD584F4" w14:textId="77777777" w:rsidR="004E6DDE" w:rsidRPr="00CD6722" w:rsidRDefault="004E6DDE" w:rsidP="00CD6722">
            <w:pPr>
              <w:ind w:firstLine="34"/>
              <w:rPr>
                <w:sz w:val="22"/>
                <w:szCs w:val="22"/>
              </w:rPr>
            </w:pPr>
            <w:r w:rsidRPr="00CD6722">
              <w:rPr>
                <w:sz w:val="22"/>
                <w:szCs w:val="22"/>
              </w:rPr>
              <w:t>ш. Алмазна</w:t>
            </w:r>
          </w:p>
          <w:p w14:paraId="0ADC6A02" w14:textId="77777777" w:rsidR="004E6DDE" w:rsidRPr="00CD6722" w:rsidRDefault="004E6DDE" w:rsidP="00CD6722">
            <w:pPr>
              <w:ind w:firstLine="34"/>
              <w:rPr>
                <w:sz w:val="22"/>
                <w:szCs w:val="22"/>
              </w:rPr>
            </w:pPr>
          </w:p>
        </w:tc>
      </w:tr>
      <w:tr w:rsidR="004E6DDE" w:rsidRPr="00197BF6" w14:paraId="43693F46" w14:textId="77777777" w:rsidTr="004E6DDE">
        <w:tc>
          <w:tcPr>
            <w:tcW w:w="559" w:type="dxa"/>
            <w:tcBorders>
              <w:top w:val="single" w:sz="6" w:space="0" w:color="auto"/>
              <w:left w:val="single" w:sz="6" w:space="0" w:color="auto"/>
              <w:bottom w:val="single" w:sz="6" w:space="0" w:color="auto"/>
              <w:right w:val="single" w:sz="6" w:space="0" w:color="auto"/>
            </w:tcBorders>
            <w:vAlign w:val="center"/>
          </w:tcPr>
          <w:p w14:paraId="49EA2900" w14:textId="2080C8E5" w:rsidR="004E6DDE" w:rsidRPr="004E6DDE" w:rsidRDefault="004E6DDE" w:rsidP="00CD6722">
            <w:pPr>
              <w:pStyle w:val="a9"/>
              <w:ind w:hanging="694"/>
              <w:rPr>
                <w:rFonts w:ascii="Times New Roman" w:hAnsi="Times New Roman"/>
                <w:bCs/>
                <w:lang w:val="uk-UA"/>
              </w:rPr>
            </w:pPr>
            <w:r>
              <w:rPr>
                <w:rFonts w:ascii="Times New Roman" w:hAnsi="Times New Roman"/>
                <w:bCs/>
                <w:lang w:val="uk-UA"/>
              </w:rPr>
              <w:t>2</w:t>
            </w:r>
          </w:p>
        </w:tc>
        <w:tc>
          <w:tcPr>
            <w:tcW w:w="3402" w:type="dxa"/>
            <w:tcBorders>
              <w:top w:val="single" w:sz="6" w:space="0" w:color="auto"/>
              <w:left w:val="single" w:sz="6" w:space="0" w:color="auto"/>
              <w:bottom w:val="single" w:sz="6" w:space="0" w:color="auto"/>
              <w:right w:val="single" w:sz="6" w:space="0" w:color="auto"/>
            </w:tcBorders>
            <w:vAlign w:val="center"/>
          </w:tcPr>
          <w:p w14:paraId="3733B9BF" w14:textId="77B443A6" w:rsidR="004E6DDE" w:rsidRPr="004E6DDE" w:rsidRDefault="004E6DDE" w:rsidP="004E6DDE">
            <w:pPr>
              <w:ind w:firstLine="34"/>
              <w:rPr>
                <w:rFonts w:eastAsia="Calibri"/>
                <w:sz w:val="22"/>
                <w:szCs w:val="22"/>
                <w:lang w:eastAsia="en-US"/>
              </w:rPr>
            </w:pPr>
            <w:r w:rsidRPr="008212F0">
              <w:rPr>
                <w:sz w:val="22"/>
                <w:szCs w:val="22"/>
              </w:rPr>
              <w:t>Стійка руднична</w:t>
            </w:r>
            <w:r>
              <w:rPr>
                <w:sz w:val="22"/>
                <w:szCs w:val="22"/>
              </w:rPr>
              <w:t xml:space="preserve"> </w:t>
            </w:r>
            <w:r w:rsidRPr="008212F0">
              <w:rPr>
                <w:sz w:val="22"/>
                <w:szCs w:val="22"/>
              </w:rPr>
              <w:t xml:space="preserve"> Ø 14-19см L4м</w:t>
            </w:r>
            <w:r w:rsidRPr="008212F0">
              <w:rPr>
                <w:rFonts w:eastAsia="Calibri"/>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56699892" w14:textId="2B9C4D95" w:rsidR="004E6DDE" w:rsidRDefault="004E6DDE" w:rsidP="00CD6722">
            <w:pPr>
              <w:ind w:firstLine="0"/>
              <w:jc w:val="left"/>
              <w:rPr>
                <w:color w:val="000000"/>
                <w:sz w:val="22"/>
                <w:szCs w:val="22"/>
                <w:lang w:val="ru-RU" w:eastAsia="uk-UA"/>
              </w:rPr>
            </w:pPr>
            <w:r>
              <w:rPr>
                <w:color w:val="000000"/>
                <w:sz w:val="22"/>
                <w:szCs w:val="22"/>
                <w:lang w:val="ru-RU" w:eastAsia="uk-UA"/>
              </w:rPr>
              <w:t>м</w:t>
            </w:r>
            <w:r w:rsidRPr="008212F0">
              <w:rPr>
                <w:color w:val="000000"/>
                <w:sz w:val="22"/>
                <w:szCs w:val="22"/>
                <w:vertAlign w:val="superscript"/>
                <w:lang w:val="ru-RU" w:eastAsia="uk-UA"/>
              </w:rPr>
              <w:t>3</w:t>
            </w:r>
          </w:p>
        </w:tc>
        <w:tc>
          <w:tcPr>
            <w:tcW w:w="709" w:type="dxa"/>
            <w:tcBorders>
              <w:top w:val="single" w:sz="6" w:space="0" w:color="auto"/>
              <w:left w:val="single" w:sz="6" w:space="0" w:color="auto"/>
              <w:bottom w:val="single" w:sz="6" w:space="0" w:color="auto"/>
              <w:right w:val="single" w:sz="4" w:space="0" w:color="auto"/>
            </w:tcBorders>
            <w:vAlign w:val="center"/>
          </w:tcPr>
          <w:p w14:paraId="2C0EFE1E" w14:textId="17D43C29" w:rsidR="004E6DDE" w:rsidRDefault="004E6DDE" w:rsidP="00CD6722">
            <w:pPr>
              <w:ind w:firstLine="0"/>
              <w:jc w:val="left"/>
              <w:rPr>
                <w:color w:val="000000"/>
                <w:sz w:val="22"/>
                <w:szCs w:val="22"/>
                <w:lang w:val="ru-RU" w:eastAsia="uk-UA"/>
              </w:rPr>
            </w:pPr>
            <w:r>
              <w:rPr>
                <w:color w:val="000000"/>
                <w:sz w:val="22"/>
                <w:szCs w:val="22"/>
                <w:lang w:val="ru-RU" w:eastAsia="uk-UA"/>
              </w:rPr>
              <w:t>200</w:t>
            </w:r>
          </w:p>
        </w:tc>
        <w:tc>
          <w:tcPr>
            <w:tcW w:w="1134" w:type="dxa"/>
            <w:tcBorders>
              <w:top w:val="single" w:sz="4" w:space="0" w:color="auto"/>
              <w:left w:val="single" w:sz="4" w:space="0" w:color="auto"/>
              <w:bottom w:val="single" w:sz="4" w:space="0" w:color="auto"/>
              <w:right w:val="single" w:sz="4" w:space="0" w:color="auto"/>
            </w:tcBorders>
          </w:tcPr>
          <w:p w14:paraId="5637A003" w14:textId="77777777" w:rsidR="004E6DDE" w:rsidRPr="00197BF6" w:rsidRDefault="004E6DDE" w:rsidP="00CD6722">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1C06A" w14:textId="77777777" w:rsidR="004E6DDE" w:rsidRPr="00197BF6" w:rsidRDefault="004E6DDE" w:rsidP="00CD6722">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D5A8A03" w14:textId="77777777" w:rsidR="004E6DDE" w:rsidRPr="00CD6722" w:rsidRDefault="004E6DDE" w:rsidP="00CD6722">
            <w:pPr>
              <w:ind w:firstLine="34"/>
              <w:rPr>
                <w:sz w:val="22"/>
                <w:szCs w:val="22"/>
              </w:rPr>
            </w:pPr>
            <w:r w:rsidRPr="00CD6722">
              <w:rPr>
                <w:sz w:val="22"/>
                <w:szCs w:val="22"/>
              </w:rPr>
              <w:t>ш. Добропільська</w:t>
            </w:r>
          </w:p>
          <w:p w14:paraId="631F50BD" w14:textId="77777777" w:rsidR="004E6DDE" w:rsidRPr="00CD6722" w:rsidRDefault="004E6DDE" w:rsidP="00CD6722">
            <w:pPr>
              <w:ind w:firstLine="34"/>
              <w:rPr>
                <w:sz w:val="22"/>
                <w:szCs w:val="22"/>
              </w:rPr>
            </w:pPr>
          </w:p>
        </w:tc>
      </w:tr>
      <w:tr w:rsidR="004E6DDE" w:rsidRPr="00197BF6" w14:paraId="7C6FA93F" w14:textId="77777777" w:rsidTr="004E6DDE">
        <w:tc>
          <w:tcPr>
            <w:tcW w:w="559" w:type="dxa"/>
            <w:tcBorders>
              <w:top w:val="single" w:sz="6" w:space="0" w:color="auto"/>
              <w:left w:val="single" w:sz="6" w:space="0" w:color="auto"/>
              <w:bottom w:val="single" w:sz="6" w:space="0" w:color="auto"/>
              <w:right w:val="single" w:sz="6" w:space="0" w:color="auto"/>
            </w:tcBorders>
            <w:vAlign w:val="center"/>
          </w:tcPr>
          <w:p w14:paraId="2A8A9498" w14:textId="07A7BDC1" w:rsidR="004E6DDE" w:rsidRPr="004E6DDE" w:rsidRDefault="004E6DDE" w:rsidP="004E6DDE">
            <w:pPr>
              <w:pStyle w:val="a9"/>
              <w:ind w:hanging="694"/>
              <w:rPr>
                <w:rFonts w:ascii="Times New Roman" w:hAnsi="Times New Roman"/>
                <w:bCs/>
                <w:lang w:val="uk-UA"/>
              </w:rPr>
            </w:pPr>
            <w:r w:rsidRPr="004E6DDE">
              <w:rPr>
                <w:rFonts w:ascii="Times New Roman" w:hAnsi="Times New Roman"/>
                <w:bCs/>
                <w:lang w:val="uk-UA"/>
              </w:rPr>
              <w:t>3</w:t>
            </w:r>
          </w:p>
        </w:tc>
        <w:tc>
          <w:tcPr>
            <w:tcW w:w="3402" w:type="dxa"/>
            <w:tcBorders>
              <w:top w:val="single" w:sz="6" w:space="0" w:color="auto"/>
              <w:left w:val="single" w:sz="6" w:space="0" w:color="auto"/>
              <w:bottom w:val="single" w:sz="6" w:space="0" w:color="auto"/>
              <w:right w:val="single" w:sz="6" w:space="0" w:color="auto"/>
            </w:tcBorders>
            <w:vAlign w:val="center"/>
          </w:tcPr>
          <w:p w14:paraId="21735BB2" w14:textId="59942F7D" w:rsidR="004E6DDE" w:rsidRPr="004E6DDE" w:rsidRDefault="004E6DDE" w:rsidP="00CD6722">
            <w:pPr>
              <w:ind w:firstLine="0"/>
              <w:rPr>
                <w:rFonts w:eastAsia="Calibri"/>
                <w:sz w:val="22"/>
                <w:szCs w:val="22"/>
                <w:lang w:eastAsia="en-US"/>
              </w:rPr>
            </w:pPr>
            <w:r w:rsidRPr="008212F0">
              <w:rPr>
                <w:sz w:val="22"/>
                <w:szCs w:val="22"/>
              </w:rPr>
              <w:t>Стійка руднична Ø 14-19см L4м</w:t>
            </w:r>
            <w:r w:rsidRPr="008212F0">
              <w:rPr>
                <w:rFonts w:eastAsia="Calibri"/>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61917249" w14:textId="053A539E" w:rsidR="004E6DDE" w:rsidRDefault="004E6DDE" w:rsidP="00CD6722">
            <w:pPr>
              <w:ind w:firstLine="0"/>
              <w:jc w:val="left"/>
              <w:rPr>
                <w:color w:val="000000"/>
                <w:sz w:val="22"/>
                <w:szCs w:val="22"/>
                <w:lang w:val="ru-RU" w:eastAsia="uk-UA"/>
              </w:rPr>
            </w:pPr>
            <w:r>
              <w:rPr>
                <w:color w:val="000000"/>
                <w:sz w:val="22"/>
                <w:szCs w:val="22"/>
                <w:lang w:val="ru-RU" w:eastAsia="uk-UA"/>
              </w:rPr>
              <w:t>м</w:t>
            </w:r>
            <w:r w:rsidRPr="008212F0">
              <w:rPr>
                <w:color w:val="000000"/>
                <w:sz w:val="22"/>
                <w:szCs w:val="22"/>
                <w:vertAlign w:val="superscript"/>
                <w:lang w:val="ru-RU" w:eastAsia="uk-UA"/>
              </w:rPr>
              <w:t>3</w:t>
            </w:r>
          </w:p>
        </w:tc>
        <w:tc>
          <w:tcPr>
            <w:tcW w:w="709" w:type="dxa"/>
            <w:tcBorders>
              <w:top w:val="single" w:sz="6" w:space="0" w:color="auto"/>
              <w:left w:val="single" w:sz="6" w:space="0" w:color="auto"/>
              <w:bottom w:val="single" w:sz="6" w:space="0" w:color="auto"/>
              <w:right w:val="single" w:sz="4" w:space="0" w:color="auto"/>
            </w:tcBorders>
            <w:vAlign w:val="center"/>
          </w:tcPr>
          <w:p w14:paraId="23DA4452" w14:textId="4414B1C8" w:rsidR="004E6DDE" w:rsidRDefault="004E6DDE" w:rsidP="00CD6722">
            <w:pPr>
              <w:ind w:firstLine="0"/>
              <w:jc w:val="left"/>
              <w:rPr>
                <w:color w:val="000000"/>
                <w:sz w:val="22"/>
                <w:szCs w:val="22"/>
                <w:lang w:val="ru-RU" w:eastAsia="uk-UA"/>
              </w:rPr>
            </w:pPr>
            <w:r>
              <w:rPr>
                <w:color w:val="000000"/>
                <w:sz w:val="22"/>
                <w:szCs w:val="22"/>
                <w:lang w:val="ru-RU" w:eastAsia="uk-UA"/>
              </w:rPr>
              <w:t>200</w:t>
            </w:r>
          </w:p>
        </w:tc>
        <w:tc>
          <w:tcPr>
            <w:tcW w:w="1134" w:type="dxa"/>
            <w:tcBorders>
              <w:top w:val="single" w:sz="4" w:space="0" w:color="auto"/>
              <w:left w:val="single" w:sz="4" w:space="0" w:color="auto"/>
              <w:bottom w:val="single" w:sz="4" w:space="0" w:color="auto"/>
              <w:right w:val="single" w:sz="4" w:space="0" w:color="auto"/>
            </w:tcBorders>
          </w:tcPr>
          <w:p w14:paraId="077BC38D" w14:textId="77777777" w:rsidR="004E6DDE" w:rsidRPr="00197BF6" w:rsidRDefault="004E6DDE" w:rsidP="00CD6722">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ADC96" w14:textId="77777777" w:rsidR="004E6DDE" w:rsidRPr="00197BF6" w:rsidRDefault="004E6DDE" w:rsidP="00CD6722">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56D7B37" w14:textId="77777777" w:rsidR="004E6DDE" w:rsidRPr="00CD6722" w:rsidRDefault="004E6DDE" w:rsidP="00CD6722">
            <w:pPr>
              <w:ind w:firstLine="34"/>
              <w:rPr>
                <w:sz w:val="22"/>
                <w:szCs w:val="22"/>
              </w:rPr>
            </w:pPr>
            <w:r w:rsidRPr="00CD6722">
              <w:rPr>
                <w:sz w:val="22"/>
                <w:szCs w:val="22"/>
              </w:rPr>
              <w:t>ш. Новодонецька</w:t>
            </w:r>
          </w:p>
          <w:p w14:paraId="0DDD4368" w14:textId="77777777" w:rsidR="004E6DDE" w:rsidRPr="00CD6722" w:rsidRDefault="004E6DDE" w:rsidP="00CD6722">
            <w:pPr>
              <w:ind w:firstLine="34"/>
              <w:rPr>
                <w:sz w:val="22"/>
                <w:szCs w:val="22"/>
              </w:rPr>
            </w:pPr>
          </w:p>
        </w:tc>
      </w:tr>
      <w:tr w:rsidR="004E6DDE" w:rsidRPr="00197BF6" w14:paraId="0E4B14EA" w14:textId="5346EE07" w:rsidTr="004E6DDE">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4E6DDE" w:rsidRPr="00745320" w:rsidRDefault="004E6DDE" w:rsidP="004E6DDE">
            <w:pPr>
              <w:pStyle w:val="a9"/>
              <w:rPr>
                <w:rFonts w:ascii="Times New Roman" w:hAnsi="Times New Roman"/>
                <w:b/>
                <w:bCs/>
              </w:rPr>
            </w:pPr>
          </w:p>
        </w:tc>
        <w:tc>
          <w:tcPr>
            <w:tcW w:w="3402" w:type="dxa"/>
            <w:tcBorders>
              <w:top w:val="single" w:sz="6" w:space="0" w:color="auto"/>
              <w:left w:val="single" w:sz="6" w:space="0" w:color="auto"/>
              <w:bottom w:val="single" w:sz="6" w:space="0" w:color="auto"/>
              <w:right w:val="single" w:sz="6" w:space="0" w:color="auto"/>
            </w:tcBorders>
            <w:vAlign w:val="bottom"/>
          </w:tcPr>
          <w:p w14:paraId="4C9C812D" w14:textId="399E225C" w:rsidR="004E6DDE" w:rsidRPr="00696135" w:rsidRDefault="004E6DDE" w:rsidP="004E6DDE">
            <w:pPr>
              <w:ind w:firstLine="0"/>
              <w:jc w:val="left"/>
              <w:rPr>
                <w:sz w:val="22"/>
                <w:szCs w:val="22"/>
              </w:rPr>
            </w:pPr>
            <w:r w:rsidRPr="00613613">
              <w:rPr>
                <w:b/>
                <w:color w:val="000000"/>
                <w:sz w:val="22"/>
                <w:szCs w:val="22"/>
                <w:lang w:eastAsia="uk-UA"/>
              </w:rPr>
              <w:t>Всього без ПДВ 20%</w:t>
            </w:r>
          </w:p>
        </w:tc>
        <w:tc>
          <w:tcPr>
            <w:tcW w:w="709" w:type="dxa"/>
            <w:tcBorders>
              <w:top w:val="single" w:sz="6" w:space="0" w:color="auto"/>
              <w:left w:val="single" w:sz="6" w:space="0" w:color="auto"/>
              <w:bottom w:val="single" w:sz="6" w:space="0" w:color="auto"/>
              <w:right w:val="single" w:sz="6" w:space="0" w:color="auto"/>
            </w:tcBorders>
          </w:tcPr>
          <w:p w14:paraId="2B1481A0" w14:textId="77777777" w:rsidR="004E6DDE" w:rsidRPr="00A34C89" w:rsidRDefault="004E6DDE" w:rsidP="004E6DDE">
            <w:pPr>
              <w:ind w:firstLine="0"/>
              <w:jc w:val="left"/>
              <w:rPr>
                <w:bCs/>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14:paraId="4CBDAEA4" w14:textId="77777777" w:rsidR="004E6DDE" w:rsidRDefault="004E6DDE" w:rsidP="004E6DDE">
            <w:pPr>
              <w:ind w:firstLine="0"/>
              <w:jc w:val="lef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1A96A" w14:textId="77777777" w:rsidR="004E6DDE" w:rsidRPr="00197BF6" w:rsidRDefault="004E6DDE" w:rsidP="004E6DD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4E6DDE" w:rsidRPr="00197BF6" w:rsidRDefault="004E6DDE" w:rsidP="004E6DDE">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267601" w14:textId="77777777" w:rsidR="004E6DDE" w:rsidRPr="00197BF6" w:rsidRDefault="004E6DDE" w:rsidP="004E6DDE">
            <w:pPr>
              <w:ind w:firstLine="0"/>
              <w:jc w:val="center"/>
              <w:rPr>
                <w:b/>
                <w:bCs/>
                <w:sz w:val="22"/>
                <w:szCs w:val="22"/>
              </w:rPr>
            </w:pPr>
          </w:p>
        </w:tc>
      </w:tr>
      <w:tr w:rsidR="004E6DDE" w:rsidRPr="00197BF6" w14:paraId="3788E765" w14:textId="77777777" w:rsidTr="004E6DDE">
        <w:tc>
          <w:tcPr>
            <w:tcW w:w="559" w:type="dxa"/>
            <w:tcBorders>
              <w:top w:val="single" w:sz="6" w:space="0" w:color="auto"/>
              <w:left w:val="single" w:sz="6" w:space="0" w:color="auto"/>
              <w:bottom w:val="single" w:sz="6" w:space="0" w:color="auto"/>
              <w:right w:val="single" w:sz="6" w:space="0" w:color="auto"/>
            </w:tcBorders>
            <w:vAlign w:val="center"/>
          </w:tcPr>
          <w:p w14:paraId="60A154AA" w14:textId="77777777" w:rsidR="004E6DDE" w:rsidRPr="00745320" w:rsidRDefault="004E6DDE" w:rsidP="004E6DDE">
            <w:pPr>
              <w:pStyle w:val="a9"/>
              <w:rPr>
                <w:rFonts w:ascii="Times New Roman" w:hAnsi="Times New Roman"/>
                <w:b/>
                <w:bCs/>
              </w:rPr>
            </w:pPr>
          </w:p>
        </w:tc>
        <w:tc>
          <w:tcPr>
            <w:tcW w:w="3402" w:type="dxa"/>
            <w:tcBorders>
              <w:top w:val="single" w:sz="6" w:space="0" w:color="auto"/>
              <w:left w:val="single" w:sz="6" w:space="0" w:color="auto"/>
              <w:bottom w:val="single" w:sz="6" w:space="0" w:color="auto"/>
              <w:right w:val="single" w:sz="6" w:space="0" w:color="auto"/>
            </w:tcBorders>
            <w:vAlign w:val="bottom"/>
          </w:tcPr>
          <w:p w14:paraId="2839E396" w14:textId="029903DC" w:rsidR="004E6DDE" w:rsidRDefault="004E6DDE" w:rsidP="004E6DDE">
            <w:pPr>
              <w:ind w:firstLine="0"/>
              <w:jc w:val="left"/>
              <w:rPr>
                <w:sz w:val="22"/>
                <w:szCs w:val="22"/>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709" w:type="dxa"/>
            <w:tcBorders>
              <w:top w:val="single" w:sz="6" w:space="0" w:color="auto"/>
              <w:left w:val="single" w:sz="6" w:space="0" w:color="auto"/>
              <w:bottom w:val="single" w:sz="6" w:space="0" w:color="auto"/>
              <w:right w:val="single" w:sz="6" w:space="0" w:color="auto"/>
            </w:tcBorders>
          </w:tcPr>
          <w:p w14:paraId="4FDCC590" w14:textId="77777777" w:rsidR="004E6DDE" w:rsidRPr="00A34C89" w:rsidRDefault="004E6DDE" w:rsidP="004E6DDE">
            <w:pPr>
              <w:ind w:firstLine="0"/>
              <w:jc w:val="left"/>
              <w:rPr>
                <w:bCs/>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14:paraId="6393F782" w14:textId="77777777" w:rsidR="004E6DDE" w:rsidRDefault="004E6DDE" w:rsidP="004E6DDE">
            <w:pPr>
              <w:ind w:firstLine="0"/>
              <w:jc w:val="lef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8B1A08" w14:textId="77777777" w:rsidR="004E6DDE" w:rsidRPr="00197BF6" w:rsidRDefault="004E6DDE" w:rsidP="004E6DD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4BAAE" w14:textId="77777777" w:rsidR="004E6DDE" w:rsidRPr="00197BF6" w:rsidRDefault="004E6DDE" w:rsidP="004E6DDE">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41A7F0C" w14:textId="77777777" w:rsidR="004E6DDE" w:rsidRPr="00197BF6" w:rsidRDefault="004E6DDE" w:rsidP="004E6DDE">
            <w:pPr>
              <w:ind w:firstLine="0"/>
              <w:jc w:val="center"/>
              <w:rPr>
                <w:b/>
                <w:bCs/>
                <w:sz w:val="22"/>
                <w:szCs w:val="22"/>
              </w:rPr>
            </w:pPr>
          </w:p>
        </w:tc>
      </w:tr>
      <w:tr w:rsidR="004E6DDE" w:rsidRPr="00197BF6" w14:paraId="12DB3636" w14:textId="558A010B" w:rsidTr="004E6DDE">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4E6DDE" w:rsidRPr="00745320" w:rsidRDefault="004E6DDE" w:rsidP="004E6DDE">
            <w:pPr>
              <w:pStyle w:val="a9"/>
              <w:rPr>
                <w:rFonts w:ascii="Times New Roman" w:hAnsi="Times New Roman"/>
                <w:b/>
                <w:bCs/>
              </w:rPr>
            </w:pPr>
          </w:p>
        </w:tc>
        <w:tc>
          <w:tcPr>
            <w:tcW w:w="3402" w:type="dxa"/>
            <w:tcBorders>
              <w:top w:val="single" w:sz="6" w:space="0" w:color="auto"/>
              <w:left w:val="single" w:sz="6" w:space="0" w:color="auto"/>
              <w:bottom w:val="single" w:sz="6" w:space="0" w:color="auto"/>
              <w:right w:val="single" w:sz="6" w:space="0" w:color="auto"/>
            </w:tcBorders>
            <w:vAlign w:val="bottom"/>
          </w:tcPr>
          <w:p w14:paraId="3C6E798B" w14:textId="7F1F43DB" w:rsidR="004E6DDE" w:rsidRPr="00696135" w:rsidRDefault="004E6DDE" w:rsidP="004E6DDE">
            <w:pPr>
              <w:ind w:firstLine="0"/>
              <w:jc w:val="left"/>
              <w:rPr>
                <w:sz w:val="22"/>
                <w:szCs w:val="22"/>
              </w:rPr>
            </w:pPr>
            <w:r w:rsidRPr="00613613">
              <w:rPr>
                <w:b/>
                <w:color w:val="000000"/>
                <w:sz w:val="22"/>
                <w:szCs w:val="22"/>
              </w:rPr>
              <w:t>Всього з ПДВ 20%:</w:t>
            </w:r>
          </w:p>
        </w:tc>
        <w:tc>
          <w:tcPr>
            <w:tcW w:w="709" w:type="dxa"/>
            <w:tcBorders>
              <w:top w:val="single" w:sz="6" w:space="0" w:color="auto"/>
              <w:left w:val="single" w:sz="6" w:space="0" w:color="auto"/>
              <w:bottom w:val="single" w:sz="6" w:space="0" w:color="auto"/>
              <w:right w:val="single" w:sz="6" w:space="0" w:color="auto"/>
            </w:tcBorders>
          </w:tcPr>
          <w:p w14:paraId="7539AC79" w14:textId="77777777" w:rsidR="004E6DDE" w:rsidRPr="00A34C89" w:rsidRDefault="004E6DDE" w:rsidP="004E6DDE">
            <w:pPr>
              <w:ind w:firstLine="0"/>
              <w:jc w:val="left"/>
              <w:rPr>
                <w:bCs/>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14:paraId="409A9C23" w14:textId="77777777" w:rsidR="004E6DDE" w:rsidRDefault="004E6DDE" w:rsidP="004E6DDE">
            <w:pPr>
              <w:ind w:firstLine="0"/>
              <w:jc w:val="lef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64C010" w14:textId="77777777" w:rsidR="004E6DDE" w:rsidRPr="00197BF6" w:rsidRDefault="004E6DDE" w:rsidP="004E6DDE">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4E6DDE" w:rsidRPr="00197BF6" w:rsidRDefault="004E6DDE" w:rsidP="004E6DDE">
            <w:pPr>
              <w:ind w:firstLine="0"/>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A56E66D" w14:textId="77777777" w:rsidR="004E6DDE" w:rsidRPr="00197BF6" w:rsidRDefault="004E6DDE" w:rsidP="004E6DDE">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2A5741B1"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r w:rsidR="00C35213">
        <w:rPr>
          <w:sz w:val="22"/>
          <w:szCs w:val="22"/>
        </w:rPr>
        <w:t>.</w:t>
      </w:r>
    </w:p>
    <w:p w14:paraId="4EBBF0DC" w14:textId="152F5FA5" w:rsidR="00922E9E" w:rsidRPr="00230603" w:rsidRDefault="001C7039" w:rsidP="00CD6722">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CD6722" w:rsidRPr="00887852">
        <w:rPr>
          <w:sz w:val="22"/>
          <w:szCs w:val="22"/>
        </w:rPr>
        <w:t xml:space="preserve">Шахта </w:t>
      </w:r>
      <w:r w:rsidR="00CD6722">
        <w:rPr>
          <w:sz w:val="22"/>
          <w:szCs w:val="22"/>
        </w:rPr>
        <w:t>«</w:t>
      </w:r>
      <w:r w:rsidR="00CD6722" w:rsidRPr="00887852">
        <w:rPr>
          <w:sz w:val="22"/>
          <w:szCs w:val="22"/>
        </w:rPr>
        <w:t>Алмазна</w:t>
      </w:r>
      <w:r w:rsidR="00CD6722">
        <w:rPr>
          <w:sz w:val="22"/>
          <w:szCs w:val="22"/>
        </w:rPr>
        <w:t>»</w:t>
      </w:r>
      <w:r w:rsidR="00CD6722" w:rsidRPr="00887852">
        <w:rPr>
          <w:sz w:val="22"/>
          <w:szCs w:val="22"/>
        </w:rPr>
        <w:t xml:space="preserve">, </w:t>
      </w:r>
      <w:r w:rsidR="00CD6722">
        <w:rPr>
          <w:sz w:val="22"/>
          <w:szCs w:val="22"/>
        </w:rPr>
        <w:t>85001 ,</w:t>
      </w:r>
      <w:r w:rsidR="00CD6722" w:rsidRPr="00887852">
        <w:rPr>
          <w:sz w:val="22"/>
          <w:szCs w:val="22"/>
        </w:rPr>
        <w:t>Донецька обл., м. Добропілля, вул. Низова, 1А</w:t>
      </w:r>
      <w:r w:rsidR="00CD6722">
        <w:rPr>
          <w:sz w:val="22"/>
          <w:szCs w:val="22"/>
        </w:rPr>
        <w:t xml:space="preserve">; </w:t>
      </w:r>
      <w:r w:rsidR="00CD6722" w:rsidRPr="009B2DC5">
        <w:rPr>
          <w:sz w:val="22"/>
          <w:szCs w:val="22"/>
        </w:rPr>
        <w:t>Шахта «Добропільська», Донецька обл., м. Добропілля, вул. Київська, 1Г</w:t>
      </w:r>
      <w:r w:rsidR="00CD6722">
        <w:rPr>
          <w:sz w:val="22"/>
          <w:szCs w:val="22"/>
        </w:rPr>
        <w:t xml:space="preserve">; </w:t>
      </w:r>
      <w:r w:rsidR="00CD6722" w:rsidRPr="003F1375">
        <w:rPr>
          <w:sz w:val="22"/>
          <w:szCs w:val="22"/>
        </w:rPr>
        <w:t xml:space="preserve">Шахта </w:t>
      </w:r>
      <w:r w:rsidR="00CD6722">
        <w:rPr>
          <w:sz w:val="22"/>
          <w:szCs w:val="22"/>
        </w:rPr>
        <w:t>«Новодонецька»</w:t>
      </w:r>
      <w:r w:rsidR="00CD6722">
        <w:rPr>
          <w:sz w:val="22"/>
          <w:szCs w:val="22"/>
          <w:lang w:val="ru-RU"/>
        </w:rPr>
        <w:t xml:space="preserve">, </w:t>
      </w:r>
      <w:r w:rsidR="00CD6722" w:rsidRPr="003F1375">
        <w:rPr>
          <w:sz w:val="22"/>
          <w:szCs w:val="22"/>
        </w:rPr>
        <w:t>Донецька обл., Олександрівський р-н, село Курицине, вул.Робоча, будинок 15</w:t>
      </w:r>
      <w:r w:rsidR="00CD6722">
        <w:rPr>
          <w:color w:val="000000"/>
          <w:sz w:val="22"/>
          <w:szCs w:val="22"/>
        </w:rPr>
        <w:t xml:space="preserve">  </w:t>
      </w:r>
    </w:p>
    <w:p w14:paraId="218E4DC6" w14:textId="6296D024" w:rsidR="00314906" w:rsidRPr="009B2DC5" w:rsidRDefault="001C7039" w:rsidP="00314906">
      <w:pPr>
        <w:ind w:firstLine="0"/>
        <w:rPr>
          <w:sz w:val="22"/>
          <w:szCs w:val="22"/>
          <w:lang w:eastAsia="uk-UA"/>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314906" w:rsidRPr="009B2DC5">
        <w:rPr>
          <w:sz w:val="22"/>
          <w:szCs w:val="22"/>
          <w:lang w:eastAsia="uk-UA"/>
        </w:rPr>
        <w:t>протягом 3 (трьох) календарних днів з дати отримання заявки від Покупця.</w:t>
      </w:r>
    </w:p>
    <w:p w14:paraId="0FF53120" w14:textId="6A54D5A2" w:rsidR="00D50582" w:rsidRDefault="001C7039" w:rsidP="00314906">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4E6DDE" w:rsidRPr="00EB0FCC">
        <w:rPr>
          <w:sz w:val="22"/>
          <w:szCs w:val="22"/>
        </w:rPr>
        <w:t xml:space="preserve">протягом </w:t>
      </w:r>
      <w:r w:rsidR="00C14A42" w:rsidRPr="00C14A42">
        <w:rPr>
          <w:sz w:val="22"/>
          <w:szCs w:val="22"/>
        </w:rPr>
        <w:t>90 (</w:t>
      </w:r>
      <w:proofErr w:type="spellStart"/>
      <w:r w:rsidR="00C14A42" w:rsidRPr="00C14A42">
        <w:rPr>
          <w:sz w:val="22"/>
          <w:szCs w:val="22"/>
        </w:rPr>
        <w:t>дев</w:t>
      </w:r>
      <w:proofErr w:type="spellEnd"/>
      <w:r w:rsidR="00C14A42" w:rsidRPr="00C14A42">
        <w:rPr>
          <w:sz w:val="22"/>
          <w:szCs w:val="22"/>
        </w:rPr>
        <w:t xml:space="preserve">’яносто) </w:t>
      </w:r>
      <w:r w:rsidR="004E6DDE" w:rsidRPr="00FD0846">
        <w:rPr>
          <w:sz w:val="22"/>
          <w:szCs w:val="22"/>
        </w:rPr>
        <w:t xml:space="preserve"> </w:t>
      </w:r>
      <w:proofErr w:type="spellStart"/>
      <w:r w:rsidR="004E6DDE" w:rsidRPr="00C14A42">
        <w:rPr>
          <w:sz w:val="22"/>
          <w:szCs w:val="22"/>
        </w:rPr>
        <w:t>календарних</w:t>
      </w:r>
      <w:proofErr w:type="spellEnd"/>
      <w:r w:rsidR="004E6DDE" w:rsidRPr="00EB0FCC">
        <w:rPr>
          <w:sz w:val="22"/>
          <w:szCs w:val="22"/>
        </w:rPr>
        <w:t xml:space="preserve"> днів з дати поставки продукції на склад Покупця </w:t>
      </w:r>
      <w:r w:rsidR="004E6DDE" w:rsidRPr="00FD0846">
        <w:rPr>
          <w:sz w:val="22"/>
          <w:szCs w:val="22"/>
        </w:rPr>
        <w:t xml:space="preserve">на підставі </w:t>
      </w:r>
      <w:r w:rsidR="004E6DDE">
        <w:rPr>
          <w:sz w:val="22"/>
          <w:szCs w:val="22"/>
        </w:rPr>
        <w:t>первинної документації.</w:t>
      </w:r>
    </w:p>
    <w:p w14:paraId="15C9C419" w14:textId="77777777" w:rsidR="004E6DDE" w:rsidRDefault="004E6DDE" w:rsidP="00314906">
      <w:pPr>
        <w:tabs>
          <w:tab w:val="left" w:pos="426"/>
          <w:tab w:val="left" w:pos="567"/>
        </w:tabs>
        <w:ind w:firstLine="0"/>
        <w:rPr>
          <w:sz w:val="22"/>
          <w:szCs w:val="22"/>
        </w:rPr>
      </w:pPr>
      <w:bookmarkStart w:id="2" w:name="_GoBack"/>
      <w:bookmarkEnd w:id="2"/>
    </w:p>
    <w:p w14:paraId="78749D30" w14:textId="77777777" w:rsidR="004E6DDE" w:rsidRPr="006961EC" w:rsidRDefault="004E6DDE" w:rsidP="00314906">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3382" w14:textId="77777777" w:rsidR="00F11ACE" w:rsidRDefault="00F11ACE">
      <w:pPr>
        <w:spacing w:before="0" w:after="0"/>
      </w:pPr>
      <w:r>
        <w:separator/>
      </w:r>
    </w:p>
  </w:endnote>
  <w:endnote w:type="continuationSeparator" w:id="0">
    <w:p w14:paraId="3B36AC70" w14:textId="77777777" w:rsidR="00F11ACE" w:rsidRDefault="00F11A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4A42">
      <w:rPr>
        <w:rStyle w:val="a5"/>
        <w:noProof/>
      </w:rPr>
      <w:t>12</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779E" w14:textId="77777777" w:rsidR="00F11ACE" w:rsidRDefault="00F11ACE">
      <w:pPr>
        <w:spacing w:before="0" w:after="0"/>
      </w:pPr>
      <w:r>
        <w:separator/>
      </w:r>
    </w:p>
  </w:footnote>
  <w:footnote w:type="continuationSeparator" w:id="0">
    <w:p w14:paraId="174FBE77" w14:textId="77777777" w:rsidR="00F11ACE" w:rsidRDefault="00F11AC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BEA4093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194038"/>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9"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7"/>
  </w:num>
  <w:num w:numId="6">
    <w:abstractNumId w:val="19"/>
  </w:num>
  <w:num w:numId="7">
    <w:abstractNumId w:val="21"/>
  </w:num>
  <w:num w:numId="8">
    <w:abstractNumId w:val="11"/>
  </w:num>
  <w:num w:numId="9">
    <w:abstractNumId w:val="8"/>
  </w:num>
  <w:num w:numId="10">
    <w:abstractNumId w:val="26"/>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9"/>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5"/>
  </w:num>
  <w:num w:numId="23">
    <w:abstractNumId w:val="2"/>
  </w:num>
  <w:num w:numId="24">
    <w:abstractNumId w:val="24"/>
  </w:num>
  <w:num w:numId="25">
    <w:abstractNumId w:val="0"/>
  </w:num>
  <w:num w:numId="26">
    <w:abstractNumId w:val="31"/>
  </w:num>
  <w:num w:numId="27">
    <w:abstractNumId w:val="28"/>
  </w:num>
  <w:num w:numId="28">
    <w:abstractNumId w:val="23"/>
  </w:num>
  <w:num w:numId="29">
    <w:abstractNumId w:val="30"/>
  </w:num>
  <w:num w:numId="30">
    <w:abstractNumId w:val="17"/>
  </w:num>
  <w:num w:numId="31">
    <w:abstractNumId w:val="10"/>
  </w:num>
  <w:num w:numId="32">
    <w:abstractNumId w:val="7"/>
  </w:num>
  <w:num w:numId="33">
    <w:abstractNumId w:val="3"/>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1E58"/>
    <w:rsid w:val="00006F4F"/>
    <w:rsid w:val="000657C0"/>
    <w:rsid w:val="00072B7C"/>
    <w:rsid w:val="00074E51"/>
    <w:rsid w:val="0008511A"/>
    <w:rsid w:val="00094558"/>
    <w:rsid w:val="000B6960"/>
    <w:rsid w:val="0010584C"/>
    <w:rsid w:val="00106301"/>
    <w:rsid w:val="00124243"/>
    <w:rsid w:val="001616C5"/>
    <w:rsid w:val="001803DE"/>
    <w:rsid w:val="001C7039"/>
    <w:rsid w:val="00202A94"/>
    <w:rsid w:val="002124A9"/>
    <w:rsid w:val="00224EB7"/>
    <w:rsid w:val="00273471"/>
    <w:rsid w:val="002D7F6B"/>
    <w:rsid w:val="00314906"/>
    <w:rsid w:val="003621E0"/>
    <w:rsid w:val="003E2838"/>
    <w:rsid w:val="00416CE9"/>
    <w:rsid w:val="0043020B"/>
    <w:rsid w:val="00436709"/>
    <w:rsid w:val="0044423D"/>
    <w:rsid w:val="004A7E92"/>
    <w:rsid w:val="004B5369"/>
    <w:rsid w:val="004C0650"/>
    <w:rsid w:val="004C7A57"/>
    <w:rsid w:val="004E6DDE"/>
    <w:rsid w:val="00550B26"/>
    <w:rsid w:val="0058193B"/>
    <w:rsid w:val="005B50A5"/>
    <w:rsid w:val="005D7ED2"/>
    <w:rsid w:val="0066212B"/>
    <w:rsid w:val="006B7563"/>
    <w:rsid w:val="006E20FE"/>
    <w:rsid w:val="006F13D4"/>
    <w:rsid w:val="006F1BF2"/>
    <w:rsid w:val="006F5C5A"/>
    <w:rsid w:val="00730D1A"/>
    <w:rsid w:val="00742893"/>
    <w:rsid w:val="00745320"/>
    <w:rsid w:val="00781CC8"/>
    <w:rsid w:val="00786480"/>
    <w:rsid w:val="007B6598"/>
    <w:rsid w:val="007C421B"/>
    <w:rsid w:val="008247E5"/>
    <w:rsid w:val="00827012"/>
    <w:rsid w:val="0084141F"/>
    <w:rsid w:val="008550B5"/>
    <w:rsid w:val="00867D4A"/>
    <w:rsid w:val="00882709"/>
    <w:rsid w:val="00892ACA"/>
    <w:rsid w:val="008B0DB5"/>
    <w:rsid w:val="008F47FA"/>
    <w:rsid w:val="009005AE"/>
    <w:rsid w:val="00907D66"/>
    <w:rsid w:val="00922E9E"/>
    <w:rsid w:val="00943D0D"/>
    <w:rsid w:val="00945E7C"/>
    <w:rsid w:val="00963AA2"/>
    <w:rsid w:val="009D5C6F"/>
    <w:rsid w:val="009F0379"/>
    <w:rsid w:val="00A103D6"/>
    <w:rsid w:val="00A76864"/>
    <w:rsid w:val="00AB081F"/>
    <w:rsid w:val="00AB2F56"/>
    <w:rsid w:val="00AC01E7"/>
    <w:rsid w:val="00AD58CF"/>
    <w:rsid w:val="00B05C72"/>
    <w:rsid w:val="00B64506"/>
    <w:rsid w:val="00BC22CF"/>
    <w:rsid w:val="00BE5FBD"/>
    <w:rsid w:val="00C000F3"/>
    <w:rsid w:val="00C14A42"/>
    <w:rsid w:val="00C33906"/>
    <w:rsid w:val="00C35213"/>
    <w:rsid w:val="00CD6722"/>
    <w:rsid w:val="00D147F4"/>
    <w:rsid w:val="00D26BE3"/>
    <w:rsid w:val="00D45112"/>
    <w:rsid w:val="00D50582"/>
    <w:rsid w:val="00D56AD6"/>
    <w:rsid w:val="00D74A27"/>
    <w:rsid w:val="00D81E00"/>
    <w:rsid w:val="00DB4B37"/>
    <w:rsid w:val="00DF43E3"/>
    <w:rsid w:val="00DF6D9D"/>
    <w:rsid w:val="00E11B07"/>
    <w:rsid w:val="00E75411"/>
    <w:rsid w:val="00EE3153"/>
    <w:rsid w:val="00EF51F7"/>
    <w:rsid w:val="00F11ACE"/>
    <w:rsid w:val="00F136FA"/>
    <w:rsid w:val="00F1700A"/>
    <w:rsid w:val="00F40540"/>
    <w:rsid w:val="00F46A2F"/>
    <w:rsid w:val="00F626BE"/>
    <w:rsid w:val="00F719F0"/>
    <w:rsid w:val="00FF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77233169">
      <w:bodyDiv w:val="1"/>
      <w:marLeft w:val="0"/>
      <w:marRight w:val="0"/>
      <w:marTop w:val="0"/>
      <w:marBottom w:val="0"/>
      <w:divBdr>
        <w:top w:val="none" w:sz="0" w:space="0" w:color="auto"/>
        <w:left w:val="none" w:sz="0" w:space="0" w:color="auto"/>
        <w:bottom w:val="none" w:sz="0" w:space="0" w:color="auto"/>
        <w:right w:val="none" w:sz="0" w:space="0" w:color="auto"/>
      </w:divBdr>
    </w:div>
    <w:div w:id="11841711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F768-46D6-4514-838D-2A0038EA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34927</Words>
  <Characters>19909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cp:revision>
  <dcterms:created xsi:type="dcterms:W3CDTF">2023-10-06T19:07:00Z</dcterms:created>
  <dcterms:modified xsi:type="dcterms:W3CDTF">2023-10-06T20:07:00Z</dcterms:modified>
</cp:coreProperties>
</file>